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7月5</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bookmarkStart w:id="0" w:name="_GoBack"/>
      <w:bookmarkEnd w:id="0"/>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数据显示，欧元区5月PPI同比录得36.3%，低于预期的36.6%和前值 37.2%。此外，5月PPI环比录得0.7%，低于预期的0.9%和前值 1.2%。</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中国人民银行与香港金融管理局签署常备互换协议并扩大规模</w:t>
      </w:r>
    </w:p>
    <w:p>
      <w:pPr>
        <w:jc w:val="left"/>
        <w:rPr>
          <w:rFonts w:hint="eastAsia"/>
          <w:color w:val="auto"/>
        </w:rPr>
      </w:pPr>
      <w:r>
        <w:rPr>
          <w:rFonts w:hint="eastAsia"/>
          <w:color w:val="auto"/>
        </w:rPr>
        <w:t>2  发改委：将适时采取储备调节、供需调节等措施，防范生猪价格过快上涨</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09:45</w:t>
      </w:r>
      <w:r>
        <w:rPr>
          <w:rFonts w:hint="eastAsia"/>
          <w:color w:val="auto"/>
        </w:rPr>
        <w:tab/>
      </w:r>
      <w:r>
        <w:rPr>
          <w:rFonts w:hint="eastAsia"/>
          <w:color w:val="auto"/>
        </w:rPr>
        <w:t>中国6月财新服务业PMI</w:t>
      </w:r>
      <w:r>
        <w:rPr>
          <w:rFonts w:hint="eastAsia"/>
          <w:color w:val="auto"/>
        </w:rPr>
        <w:tab/>
      </w:r>
      <w:r>
        <w:rPr>
          <w:rFonts w:hint="eastAsia"/>
          <w:color w:val="auto"/>
        </w:rPr>
        <w:t>41.4</w:t>
      </w:r>
      <w:r>
        <w:rPr>
          <w:rFonts w:hint="eastAsia"/>
          <w:color w:val="auto"/>
        </w:rPr>
        <w:tab/>
      </w:r>
      <w:r>
        <w:rPr>
          <w:rFonts w:hint="eastAsia"/>
          <w:color w:val="auto"/>
        </w:rPr>
        <w:t>49</w:t>
      </w:r>
    </w:p>
    <w:p>
      <w:pPr>
        <w:jc w:val="left"/>
        <w:rPr>
          <w:rFonts w:hint="eastAsia"/>
          <w:color w:val="auto"/>
        </w:rPr>
      </w:pPr>
      <w:r>
        <w:rPr>
          <w:rFonts w:hint="eastAsia"/>
          <w:color w:val="auto"/>
        </w:rPr>
        <w:t>22:00</w:t>
      </w:r>
      <w:r>
        <w:rPr>
          <w:rFonts w:hint="eastAsia"/>
          <w:color w:val="auto"/>
        </w:rPr>
        <w:tab/>
      </w:r>
      <w:r>
        <w:rPr>
          <w:rFonts w:hint="eastAsia"/>
          <w:color w:val="auto"/>
        </w:rPr>
        <w:t>美国5月耐用品订单月率修正值(%)</w:t>
      </w:r>
      <w:r>
        <w:rPr>
          <w:rFonts w:hint="eastAsia"/>
          <w:color w:val="auto"/>
        </w:rPr>
        <w:tab/>
      </w:r>
      <w:r>
        <w:rPr>
          <w:rFonts w:hint="eastAsia"/>
          <w:color w:val="auto"/>
        </w:rPr>
        <w:t>0.7</w:t>
      </w:r>
      <w:r>
        <w:rPr>
          <w:rFonts w:hint="eastAsia"/>
          <w:color w:val="auto"/>
        </w:rPr>
        <w:tab/>
      </w:r>
      <w:r>
        <w:rPr>
          <w:rFonts w:hint="eastAsia"/>
          <w:color w:val="auto"/>
        </w:rPr>
        <w:t>0.7</w:t>
      </w:r>
    </w:p>
    <w:p>
      <w:pPr>
        <w:jc w:val="left"/>
        <w:rPr>
          <w:rFonts w:hint="eastAsia"/>
          <w:color w:val="auto"/>
        </w:rPr>
      </w:pPr>
      <w:r>
        <w:rPr>
          <w:rFonts w:hint="eastAsia"/>
          <w:color w:val="auto"/>
        </w:rPr>
        <w:t>美国5月工厂订单月率(%)</w:t>
      </w:r>
      <w:r>
        <w:rPr>
          <w:rFonts w:hint="eastAsia"/>
          <w:color w:val="auto"/>
        </w:rPr>
        <w:tab/>
      </w:r>
      <w:r>
        <w:rPr>
          <w:rFonts w:hint="eastAsia"/>
          <w:color w:val="auto"/>
        </w:rPr>
        <w:t>0.3</w:t>
      </w:r>
      <w:r>
        <w:rPr>
          <w:rFonts w:hint="eastAsia"/>
          <w:color w:val="auto"/>
        </w:rPr>
        <w:tab/>
      </w:r>
      <w:r>
        <w:rPr>
          <w:rFonts w:hint="eastAsia"/>
          <w:color w:val="auto"/>
        </w:rPr>
        <w:t>0.5</w:t>
      </w:r>
      <w:r>
        <w:rPr>
          <w:rFonts w:hint="eastAsia"/>
          <w:color w:val="auto"/>
        </w:rPr>
        <w:tab/>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指数低开，午后上扬，截至收盘，沪指涨0.53%，报3405.43点，深成指涨1.29%，报13026.25点，创业板指涨1.9%，报2834.69点，科创50指数涨0.56%。沪深两市合计成交额11304.8亿元，为连续第8个交易日超1万亿元；北向资金实际净买入45.01亿元。</w:t>
      </w:r>
    </w:p>
    <w:p>
      <w:pPr>
        <w:jc w:val="left"/>
        <w:rPr>
          <w:rFonts w:hint="eastAsia"/>
          <w:color w:val="auto"/>
        </w:rPr>
      </w:pPr>
      <w:r>
        <w:rPr>
          <w:rFonts w:hint="eastAsia"/>
          <w:color w:val="auto"/>
        </w:rPr>
        <w:t xml:space="preserve">   市场连续上行后3400点区域遇阻，指数迎来高位震荡。整体上依旧保持震荡结构，上有压力下有支撑。短期需继续留意量能，后续依旧是关键。</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default"/>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金融市场因独立日假期休市。早盘电子盘美元收涨于105.19部位；人民币离岸价稳定在6.693。欧洲股市受石油和天热气板块带动而上涨，但在欧央行决定自本月加息前，市场人气受到抑制。国际油价涨超2%，尽管市场一方面因供应方面的担忧而保持上涨，尤其是利比亚减产和挪威的预期罢工，但通胀上升、美元走强和制造业数据走弱则会抑制油价上涨。美CBOT市场修市。大连盘夜盘保持波动。</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9月油粕比回撤至2.46；粕9－1逆差做扩至235点。粕9白盘宜关注美电子盘开市指引，日内参考围绕3800的波动，宜灵活。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独立日，美棉休市。郑棉弱势，9月合约价格17265元，现货价格在18172元。据印度相关机构数据，截至7月1日印度全国植棉面积达640.8万公顷（9612万亩），植棉进度同比领先约4%，整体处于近年较快水平。  具体从各棉区植棉情况来看，北部棉区新棉播种已基本完成，同比落后约1%；中部棉区植棉进度同比领先约6%；南部棉区植棉进度同比领先约5%。其中马哈拉施特拉同比扩种明显，目前播种面积约236.5万公顷（3547万亩），植棉进度同比领先21%。近两周原料市场大幅下跌，下游下单多谨慎观望，尤其是高支纱订单稀缺，使得纱厂成品库存又有增加的态势。周末纱线报价弱势下跌，纱厂开工率仍然维持偏低水平。关于接下来的的行情，一些业内人士仍较为悲观，一方面国际行势仍不容乐观，另一方面疫情的不确定性仍在，而且目前市场订单仍无明显改观，也有一些人认为低价下需求或逐渐出现些好转。有纱厂看行情止跌，逐步增加采购来摊平成本，但表示目前部分大贸易商仍封盘不卖，个别小贸易商部分资源存在货权问题，市场可选择性不多。综上，国内疫情散点爆发，棉价弱势运行，等待淡季过去，也等待外围价格给于引导。</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操作上，观望，不追空。（</w:t>
            </w:r>
            <w:r>
              <w:rPr>
                <w:rFonts w:hint="eastAsia"/>
                <w:b/>
                <w:color w:val="auto"/>
                <w:lang w:val="en-US" w:eastAsia="zh-CN"/>
              </w:rPr>
              <w:t>苗玲</w:t>
            </w:r>
            <w:r>
              <w:rPr>
                <w:rFonts w:hint="eastAsia"/>
                <w:b/>
                <w:color w:val="auto"/>
                <w:lang w:eastAsia="zh-CN"/>
              </w:rPr>
              <w:t>）</w:t>
            </w:r>
          </w:p>
        </w:tc>
      </w:tr>
    </w:tbl>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钢材价格周一白盘回落夜盘小幅回弹，螺纹2210合约收于4199，热卷2210合约收于4198。现货方面，4日唐山普方坯出厂价报3900（-40），上海地区螺纹钢现货价格(HRB400 20mm)4230元（-80），热卷现货价格(4.75mm)4220元（-130）。</w:t>
            </w:r>
          </w:p>
          <w:p>
            <w:pPr>
              <w:widowControl/>
              <w:suppressAutoHyphens w:val="0"/>
              <w:ind w:firstLine="630" w:firstLineChars="300"/>
              <w:jc w:val="left"/>
              <w:rPr>
                <w:rFonts w:hint="eastAsia"/>
                <w:color w:val="auto"/>
              </w:rPr>
            </w:pPr>
            <w:r>
              <w:rPr>
                <w:rFonts w:hint="eastAsia"/>
                <w:color w:val="auto"/>
              </w:rPr>
              <w:t xml:space="preserve"> 6月全球制造业PMI指数为52.3，较上月下降了0.1个百分点；美国ISM制造业PMI由上月的56.1下降3.1个点至53，低于54.5的市场预期；欧元区PMI终值为52.1，预期52，前值52；英国PMI为52.8，为2020年6月以来新低。新兴国家读数出现分化，PMI指数升至51.7，时隔三个月再次站上荣枯线。</w:t>
            </w:r>
          </w:p>
          <w:p>
            <w:pPr>
              <w:widowControl/>
              <w:suppressAutoHyphens w:val="0"/>
              <w:ind w:firstLine="630" w:firstLineChars="300"/>
              <w:jc w:val="left"/>
              <w:rPr>
                <w:rFonts w:hint="eastAsia"/>
                <w:color w:val="auto"/>
              </w:rPr>
            </w:pPr>
            <w:r>
              <w:rPr>
                <w:rFonts w:hint="eastAsia"/>
                <w:color w:val="auto"/>
              </w:rPr>
              <w:t>中指数据显示，5月份至6月份，重点100城新建商品住宅成交面积同比降幅持续收窄；再从环比数据看，100城新建商品住宅成交面积已在5月份出现环比转增，且6月份环比继续增长。据初步统计，6月份，100城新建商品住宅成交面积环比增幅在五成左右，同比降幅收窄至27%。</w:t>
            </w:r>
          </w:p>
          <w:p>
            <w:pPr>
              <w:widowControl/>
              <w:suppressAutoHyphens w:val="0"/>
              <w:ind w:firstLine="630" w:firstLineChars="300"/>
              <w:jc w:val="left"/>
              <w:rPr>
                <w:rFonts w:hint="eastAsia"/>
                <w:color w:val="auto"/>
              </w:rPr>
            </w:pPr>
            <w:r>
              <w:rPr>
                <w:rFonts w:hint="eastAsia"/>
                <w:color w:val="auto"/>
              </w:rPr>
              <w:t>据Mysteel不完全统计，6月15日至7月4日，全国样本企业共有34座在检高炉、累计容积39000m³，铁水日产量减少10.33万吨；共有22座在检电炉、粗钢日产量减少5.56万吨；共有38条在检轧线、累计影响成材日产量7.72万吨。</w:t>
            </w:r>
          </w:p>
          <w:p>
            <w:pPr>
              <w:widowControl/>
              <w:suppressAutoHyphens w:val="0"/>
              <w:ind w:firstLine="630" w:firstLineChars="300"/>
              <w:jc w:val="left"/>
              <w:rPr>
                <w:rFonts w:hint="eastAsia" w:eastAsia="宋体"/>
                <w:color w:val="auto"/>
                <w:lang w:val="en-US" w:eastAsia="zh-CN"/>
              </w:rPr>
            </w:pPr>
            <w:r>
              <w:rPr>
                <w:rFonts w:hint="eastAsia"/>
                <w:color w:val="auto"/>
              </w:rPr>
              <w:t>黑色系昨日价格继续下跌，原材料领跌钢材跟随，当前国内钢厂减产、海外衰退预期强化的背景下，原材料弱势明显，压低钢材成本重心。供应端看，目前的亏损下钢厂主动的减产还在持续，6月下半月后的减量较为明显，需求端短期内消费小幅回升，钢材库存压力有所减轻。持续弱势的房地产行业，在6月份迎来了销售数据的环比上行，关注其持续性的同时整个行业的恢复仍需较长时间。</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短期内消费淡季格局仍然维持，钢材价格预计震荡承压走势，保持观望态势。</w:t>
            </w:r>
          </w:p>
          <w:p>
            <w:pPr>
              <w:rPr>
                <w:rFonts w:hint="eastAsia"/>
                <w:b/>
                <w:color w:val="auto"/>
                <w:lang w:eastAsia="zh-CN"/>
              </w:rPr>
            </w:pPr>
          </w:p>
          <w:p>
            <w:pPr>
              <w:rPr>
                <w:b/>
                <w:color w:val="auto"/>
                <w:lang w:eastAsia="zh-CN"/>
              </w:rPr>
            </w:pPr>
            <w:r>
              <w:rPr>
                <w:rFonts w:hint="eastAsia"/>
                <w:b/>
                <w:color w:val="auto"/>
                <w:lang w:eastAsia="zh-CN"/>
              </w:rPr>
              <w:t>(黄</w:t>
            </w:r>
            <w:r>
              <w:rPr>
                <w:rFonts w:hint="eastAsia"/>
                <w:b/>
                <w:color w:val="auto"/>
                <w:lang w:eastAsia="zh-CN"/>
              </w:rPr>
              <w:t>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lang w:val="en-US" w:eastAsia="zh-CN"/>
              </w:rPr>
            </w:pPr>
            <w:r>
              <w:rPr>
                <w:rFonts w:hint="eastAsia"/>
                <w:color w:val="auto"/>
                <w:lang w:val="en-US" w:eastAsia="zh-CN"/>
              </w:rPr>
              <w:t xml:space="preserve">   昨日进口铁矿港口现货全天价格下跌20-33。现青岛港PB粉779跌30，超特粉673跌22；曹妃甸港PB粉790跌33，超特粉678跌29；天津港PB粉805跌31，超特粉685跌20；江阴港PB粉809跌20，超特粉695跌23；鲅鱼圈港PB粉818跌28；防城港港PB粉790。</w:t>
            </w:r>
          </w:p>
          <w:p>
            <w:pPr>
              <w:widowControl/>
              <w:suppressAutoHyphens w:val="0"/>
              <w:jc w:val="left"/>
              <w:rPr>
                <w:rFonts w:hint="eastAsia"/>
                <w:color w:val="auto"/>
                <w:lang w:val="en-US" w:eastAsia="zh-CN"/>
              </w:rPr>
            </w:pPr>
            <w:r>
              <w:rPr>
                <w:rFonts w:hint="eastAsia"/>
                <w:color w:val="auto"/>
                <w:lang w:val="en-US" w:eastAsia="zh-CN"/>
              </w:rPr>
              <w:t xml:space="preserve">      据Mysteel不完全统计，6月15日至7月4日，全国样本企业共有34座在检高炉、累计容积39000m³，铁水日产量减少10.33万吨；共有22座在检电炉、粗钢日产量减少5.56万吨；共有38条在检轧线、累计影响成材日产量7.72万吨。</w:t>
            </w:r>
          </w:p>
          <w:p>
            <w:pPr>
              <w:widowControl/>
              <w:suppressAutoHyphens w:val="0"/>
              <w:jc w:val="left"/>
              <w:rPr>
                <w:rFonts w:hint="eastAsia"/>
                <w:color w:val="auto"/>
                <w:lang w:val="en-US" w:eastAsia="zh-CN"/>
              </w:rPr>
            </w:pPr>
            <w:r>
              <w:rPr>
                <w:rFonts w:hint="eastAsia"/>
                <w:color w:val="auto"/>
                <w:lang w:val="en-US" w:eastAsia="zh-CN"/>
              </w:rPr>
              <w:t xml:space="preserve">      6月全球制造业PMI指数为52.3，较上月下降了0.1个百分点；美国ISM制造业PMI由上月的56.1下降3.1个点至53，低于54.5的市场预期；欧元区PMI终值为52.1，预期52，前值52；英国PMI为52.8，为2020年6月以来新低。新兴国家读数出现分化，PMI指数升至51.7，时隔三个月再次站上荣枯线。</w:t>
            </w:r>
          </w:p>
          <w:p>
            <w:pPr>
              <w:widowControl/>
              <w:suppressAutoHyphens w:val="0"/>
              <w:jc w:val="left"/>
              <w:rPr>
                <w:rFonts w:hint="default" w:eastAsia="宋体"/>
                <w:color w:val="auto"/>
                <w:lang w:val="en-US" w:eastAsia="zh-CN"/>
              </w:rPr>
            </w:pPr>
            <w:r>
              <w:rPr>
                <w:rFonts w:hint="eastAsia"/>
                <w:color w:val="auto"/>
                <w:lang w:val="en-US" w:eastAsia="zh-CN"/>
              </w:rPr>
              <w:t xml:space="preserve">       近期市场终端需求改善有限，钢铁利润低位甚至亏损，压制原料价格的反弹空间，而粗钢压减政策下，下半年生铁产量仍有较大的下行空间，海内外供应端逐步释放，铁矿石市场供需趋于宽松，港口库存或将在7月份见到拐点。</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短线震荡偏弱运行，短线或波段操作；中期供需格局逐渐宽松，保持逢反弹沽空的思路。</w:t>
            </w:r>
          </w:p>
          <w:p>
            <w:pPr>
              <w:rPr>
                <w:rFonts w:hint="eastAsia"/>
                <w:b/>
                <w:color w:val="auto"/>
                <w:lang w:eastAsia="zh-CN"/>
              </w:rPr>
            </w:pPr>
          </w:p>
          <w:p>
            <w:pPr>
              <w:rPr>
                <w:rFonts w:hint="eastAsia"/>
                <w:b/>
                <w:color w:val="auto"/>
                <w:lang w:eastAsia="zh-CN"/>
              </w:rPr>
            </w:pP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895"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现货市场，双焦价格弱稳运行。山西介休1.3硫主焦2550元/吨（+50），蒙5金泉提货价2300元/吨，加拿大主焦到港价430美元/吨；吕梁准一出厂价2950元/吨，唐山二级焦到厂价3050元/吨，青岛港准一焦平仓价3200元/吨。</w:t>
            </w:r>
          </w:p>
          <w:p>
            <w:pPr>
              <w:widowControl/>
              <w:suppressAutoHyphens w:val="0"/>
              <w:ind w:firstLine="630" w:firstLineChars="300"/>
              <w:jc w:val="left"/>
              <w:rPr>
                <w:rFonts w:hint="eastAsia"/>
                <w:color w:val="auto"/>
              </w:rPr>
            </w:pPr>
            <w:r>
              <w:rPr>
                <w:rFonts w:hint="eastAsia"/>
                <w:color w:val="auto"/>
              </w:rPr>
              <w:t>各地产销，煤矿新增订单较少，多以前期合同为主；焦企开工意愿较低，保持一定程度的限产，限产幅度15%-40%不等，整体场内库存低位运行，河北某钢厂再次跟进提出下调第二轮焦价，市场情绪偏弱；钢厂方面，钢厂高炉开工一般，焦炭库存多在偏低水平，部分低库存钢厂有一定补库行为，钢材成品价格再次回落，钢焦博弈继续。</w:t>
            </w:r>
          </w:p>
          <w:p>
            <w:pPr>
              <w:widowControl/>
              <w:suppressAutoHyphens w:val="0"/>
              <w:ind w:firstLine="630" w:firstLineChars="300"/>
              <w:jc w:val="left"/>
              <w:rPr>
                <w:rFonts w:hint="eastAsia" w:eastAsia="宋体"/>
                <w:color w:val="auto"/>
                <w:lang w:val="en-US" w:eastAsia="zh-CN"/>
              </w:rPr>
            </w:pPr>
            <w:r>
              <w:rPr>
                <w:rFonts w:hint="eastAsia"/>
                <w:color w:val="auto"/>
              </w:rPr>
              <w:t>受近期疫情散发影响，需求预期相对削弱，黑色市场负反馈的压力仍在，钢价下行使得双焦现货仍面临下调压力。不过国内焦煤挺价意愿较强，且盘面低点再次大幅贴水现货，短期利空有一定消化，同时上周成材表需有一定回升，关注其持续性。</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结合盘面，短线下挫后，反抽力量也较强，观望为主。</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r>
              <w:rPr>
                <w:rFonts w:hint="eastAsia"/>
                <w:b/>
                <w:color w:val="auto"/>
                <w:lang w:eastAsia="zh-CN"/>
              </w:rPr>
              <w:t>）</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偏强震荡，沪铝主力月2208合约收至18980元/吨，涨15元，涨幅0.08%。现货方面，4日长江现货成交价格19160-19200元/吨，涨120元，贴水45-贴水5；广东现货19140-19200元/吨，涨160元，贴水65-贴水5；华通报19200-19240元/吨，涨120元。持货商看涨出货积极性提高，接货方仍以压价采购为主，整体交投活跃度表现一般，大户收货积极性一般，成交表现较为温和。</w:t>
            </w:r>
          </w:p>
          <w:p>
            <w:pPr>
              <w:widowControl/>
              <w:suppressAutoHyphens w:val="0"/>
              <w:ind w:firstLine="630" w:firstLineChars="300"/>
              <w:jc w:val="left"/>
              <w:rPr>
                <w:rFonts w:hint="eastAsia"/>
                <w:color w:val="auto"/>
                <w:lang w:val="en-US" w:eastAsia="zh-CN"/>
              </w:rPr>
            </w:pPr>
            <w:r>
              <w:rPr>
                <w:rFonts w:hint="eastAsia"/>
                <w:color w:val="auto"/>
                <w:lang w:val="en-US" w:eastAsia="zh-CN"/>
              </w:rPr>
              <w:t>4日，SMM统计国内电解铝社会库存73.4万吨，较上周四库存持稳，上周去库幅度逐渐放缓之后，本周库存已停止去库。其中分地区看，除无锡地区在小幅下降外，佛山，巩义地区均已出现累库趋势，且巩义地区已连续累库4周。</w:t>
            </w:r>
          </w:p>
          <w:p>
            <w:pPr>
              <w:widowControl/>
              <w:suppressAutoHyphens w:val="0"/>
              <w:ind w:firstLine="630" w:firstLineChars="300"/>
              <w:jc w:val="left"/>
              <w:rPr>
                <w:color w:val="auto"/>
              </w:rPr>
            </w:pPr>
            <w:r>
              <w:rPr>
                <w:rFonts w:hint="eastAsia"/>
                <w:color w:val="auto"/>
                <w:lang w:val="en-US" w:eastAsia="zh-CN"/>
              </w:rPr>
              <w:t>俄欧关系持续恶化，欧洲天然气价格飙升，欧洲铝企减产忧虑升温。国内运行产能稳步抬升，部分产能出现亏损，产量继续释放。国内防疫政策逐步宽松，但下游需求仍无明显好转，终端地产持续低迷继续拖累铝价。宏观情绪偏空，且临近需求淡季，下行压力仍压制铝价。</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操作上观望或震荡思路对待，关注下游消费兑现情况。</w:t>
            </w:r>
          </w:p>
          <w:p>
            <w:pPr>
              <w:rPr>
                <w:rFonts w:hint="eastAsia"/>
                <w:b/>
                <w:color w:val="auto"/>
                <w:lang w:eastAsia="zh-CN"/>
              </w:rPr>
            </w:pPr>
          </w:p>
          <w:p>
            <w:pPr>
              <w:rPr>
                <w:b/>
                <w:color w:val="auto"/>
                <w:lang w:eastAsia="zh-CN"/>
              </w:rPr>
            </w:pPr>
            <w:r>
              <w:rPr>
                <w:rFonts w:hint="eastAsia"/>
                <w:b/>
                <w:color w:val="auto"/>
                <w:lang w:eastAsia="zh-CN"/>
              </w:rPr>
              <w:t>（有色组）</w:t>
            </w:r>
          </w:p>
        </w:tc>
      </w:tr>
      <w:tr>
        <w:tblPrEx>
          <w:tblCellMar>
            <w:top w:w="0" w:type="dxa"/>
            <w:left w:w="108" w:type="dxa"/>
            <w:bottom w:w="0" w:type="dxa"/>
            <w:right w:w="108" w:type="dxa"/>
          </w:tblCellMar>
        </w:tblPrEx>
        <w:trPr>
          <w:cantSplit/>
          <w:trHeight w:val="6771"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近两日原油价格低位暂稳，大宗商品市场整体情绪阶段性企稳，国内大宗工业品期货指数昨日下探小幅回升，短期存在反弹可能，整体依旧承压，而RU与整体大宗工业品之间继续体现出强弱交替的关系。行业方面，昨日泰国原料价格暂稳，国内海南产区逐渐上量，进浓乳厂胶水价格持稳于13700元/吨,进全乳胶厂价格持稳11500元/吨，依旧大幅低于制浓乳，抑制全乳产出。版纳区域天气良好，原料产出稍微增加，昨日收购价格略微上涨，进浓乳厂价格12300元/吨(+100)，进干胶厂价格12100元/吨（+100）。20年国营全乳胶成交参考RU09贴水200元/吨附近，上海3L成交参考12500-12850元/吨附近。月初轮胎市场交投冷清，更多代理商持观望态势，补货意愿不强。</w:t>
            </w:r>
          </w:p>
          <w:p>
            <w:pPr>
              <w:widowControl/>
              <w:suppressAutoHyphens w:val="0"/>
              <w:ind w:firstLine="630" w:firstLineChars="300"/>
              <w:jc w:val="left"/>
              <w:rPr>
                <w:rFonts w:hint="eastAsia"/>
                <w:color w:val="auto"/>
              </w:rPr>
            </w:pPr>
            <w:r>
              <w:rPr>
                <w:rFonts w:hint="eastAsia"/>
                <w:color w:val="auto"/>
              </w:rPr>
              <w:t>技术面：昨日RU2209冲高回落，夜盘勉强收回13000关口，反弹遭遇较明显阻力，后市多空展开拉锯的可能较大，下方支撑在12900附近，上方压力在13200附近。</w:t>
            </w:r>
          </w:p>
          <w:p>
            <w:pPr>
              <w:widowControl/>
              <w:suppressAutoHyphens w:val="0"/>
              <w:ind w:firstLine="630" w:firstLineChars="300"/>
              <w:jc w:val="left"/>
              <w:rPr>
                <w:rFonts w:hint="eastAsia" w:eastAsia="宋体"/>
                <w:color w:val="auto"/>
                <w:lang w:eastAsia="zh-CN"/>
              </w:rPr>
            </w:pP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操作建议：轻仓波段交易，区间震荡思路。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由于罢工行动升级，到本周末，挪威约20%的天然气产量可能会被关闭。挪威是欧洲最大的天然气生产国，2021年的产量约为3.128亿立方米/天。截至2022年4月中国原油加工量为5181万吨，同比下降10.5%，降幅比上月扩大8.5个百分点，日均加工172.7万吨。累计方面，2022年1-4月中国原油累计加工量达到22325.2万吨，累计下降3.8%。石油进口费用大幅上涨，巴基斯坦考虑俄罗斯原油进口，寻求炼油商的意见。伊朗准备提高原油产量，因为市场可能在未来几个月面临短缺。能源咨询机构伍德麦肯兹：预计第三季度布伦特原油均价在117美元/桶，第四季度面临下行压力，但在2023年前都将呈现高位波动。OPEC+已同意继续将8月份的原油产量配额增加64.8万桶/天。美国总统拜登准备于7月15日至16日访问沙特，与海湾领导人举行峰会。美国西海岸的港口和码头工人表示，他们将错过7月1日签署劳工协议的最后期限，使化工公司面临更多供应链问题的风险。美国监管机构希望自由港LNG采取纠正措施并寻求批准，然后再恢复德州出口设施的正常运营，该设施自6月8日爆炸和火灾以来一直关闭。6月29日，财政部、发改委发布《关于做好国际油价触及调控上限后实施阶段性价格补贴有关工作的通知》明确，当国际油价高于130美元每桶时，国内成品油价格阶段性不再上调，同时还将对炼油企业实行阶段性价格补贴。中国商务部已于2022年第二批向35家符合条件的独立和非国有炼油厂批准了5256万吨原油进口配额，2021年同批3522万吨。</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挪威石油工人或将举行罢工，且俄乌冲突无缓和迹象，市场对供应风险忧虑仍在，国际油价上涨。NYMEX原油期货因美国独立日假期休市；ICE布油期货09合约113.50涨1.87美元/桶或1.68%。</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操作思路以短期高位震荡偏空为主，关注布伦特原油震荡区间105-115美元/桶，注意止盈止损。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w:t>
            </w:r>
            <w:r>
              <w:rPr>
                <w:rFonts w:hint="eastAsia"/>
                <w:b/>
                <w:color w:val="auto"/>
                <w:lang w:val="en-US" w:eastAsia="zh-CN"/>
              </w:rPr>
              <w:t>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57C20A4"/>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1F8072E8"/>
    <w:rsid w:val="20970D76"/>
    <w:rsid w:val="226C1608"/>
    <w:rsid w:val="227E57F8"/>
    <w:rsid w:val="227F224C"/>
    <w:rsid w:val="23C604D1"/>
    <w:rsid w:val="23F270CF"/>
    <w:rsid w:val="245A2629"/>
    <w:rsid w:val="2A7A4984"/>
    <w:rsid w:val="2B252FF2"/>
    <w:rsid w:val="2D8D3BC9"/>
    <w:rsid w:val="2FCC19BF"/>
    <w:rsid w:val="31EC1213"/>
    <w:rsid w:val="321D62B5"/>
    <w:rsid w:val="341F7FC4"/>
    <w:rsid w:val="353D5E3C"/>
    <w:rsid w:val="358935BB"/>
    <w:rsid w:val="36AB3BBE"/>
    <w:rsid w:val="375761BA"/>
    <w:rsid w:val="384D33C8"/>
    <w:rsid w:val="39983F44"/>
    <w:rsid w:val="3CF13880"/>
    <w:rsid w:val="406C6812"/>
    <w:rsid w:val="40A56BD2"/>
    <w:rsid w:val="41A00C7B"/>
    <w:rsid w:val="424E1F35"/>
    <w:rsid w:val="426E1857"/>
    <w:rsid w:val="430419B8"/>
    <w:rsid w:val="43811021"/>
    <w:rsid w:val="442D0F38"/>
    <w:rsid w:val="465F7101"/>
    <w:rsid w:val="49131CBA"/>
    <w:rsid w:val="491A1D27"/>
    <w:rsid w:val="4A29450B"/>
    <w:rsid w:val="4A2A5B0A"/>
    <w:rsid w:val="4B25247A"/>
    <w:rsid w:val="4CDB5F58"/>
    <w:rsid w:val="4D9E7DC0"/>
    <w:rsid w:val="4DA0349C"/>
    <w:rsid w:val="4FCE0CA2"/>
    <w:rsid w:val="4FFF16B7"/>
    <w:rsid w:val="501C1047"/>
    <w:rsid w:val="509328D4"/>
    <w:rsid w:val="5132643B"/>
    <w:rsid w:val="518F71CD"/>
    <w:rsid w:val="526922B9"/>
    <w:rsid w:val="53B809A0"/>
    <w:rsid w:val="5610706B"/>
    <w:rsid w:val="578723B2"/>
    <w:rsid w:val="57D67B07"/>
    <w:rsid w:val="58CF0924"/>
    <w:rsid w:val="5B116A65"/>
    <w:rsid w:val="5B922A05"/>
    <w:rsid w:val="5CDE1F17"/>
    <w:rsid w:val="5FAE7A14"/>
    <w:rsid w:val="60593F12"/>
    <w:rsid w:val="648125BD"/>
    <w:rsid w:val="66714647"/>
    <w:rsid w:val="66CC74E1"/>
    <w:rsid w:val="6E60765C"/>
    <w:rsid w:val="73C8743F"/>
    <w:rsid w:val="76583639"/>
    <w:rsid w:val="7A3D7229"/>
    <w:rsid w:val="7A857A1E"/>
    <w:rsid w:val="7A8C2DBA"/>
    <w:rsid w:val="7B9137A7"/>
    <w:rsid w:val="7C086E1A"/>
    <w:rsid w:val="7DFC7528"/>
    <w:rsid w:val="7E71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8</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2022-07-05T00:40:47Z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