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color w:val="auto"/>
          <w:kern w:val="0"/>
          <w:szCs w:val="21"/>
          <w:lang w:eastAsia="zh-CN"/>
        </w:rPr>
      </w:pPr>
      <w:bookmarkStart w:id="0" w:name="_GoBack"/>
      <w:r>
        <w:rPr>
          <w:rFonts w:hint="eastAsia" w:ascii="宋体" w:hAnsi="宋体" w:cs="宋体"/>
          <w:color w:val="auto"/>
          <w:kern w:val="0"/>
          <w:szCs w:val="21"/>
          <w:lang w:eastAsia="zh-CN"/>
        </w:rPr>
        <w:t>道通早报</w:t>
      </w:r>
    </w:p>
    <w:p>
      <w:pPr>
        <w:widowControl/>
        <w:jc w:val="right"/>
        <w:rPr>
          <w:rFonts w:ascii="宋体" w:hAnsi="宋体" w:cs="宋体"/>
          <w:color w:val="auto"/>
          <w:kern w:val="0"/>
          <w:szCs w:val="21"/>
          <w:lang w:eastAsia="zh-CN"/>
        </w:rPr>
      </w:pPr>
      <w:r>
        <w:rPr>
          <w:rFonts w:hint="eastAsia" w:ascii="宋体" w:hAnsi="宋体" w:cs="宋体"/>
          <w:color w:val="auto"/>
          <w:kern w:val="0"/>
          <w:szCs w:val="21"/>
          <w:lang w:eastAsia="zh-CN"/>
        </w:rPr>
        <w:t>日期：202</w:t>
      </w: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年</w:t>
      </w:r>
      <w:r>
        <w:rPr>
          <w:rFonts w:hint="eastAsia" w:ascii="宋体" w:hAnsi="宋体" w:cs="宋体"/>
          <w:color w:val="auto"/>
          <w:kern w:val="0"/>
          <w:szCs w:val="21"/>
          <w:lang w:val="en-US" w:eastAsia="zh-CN"/>
        </w:rPr>
        <w:t>7月4</w:t>
      </w:r>
      <w:r>
        <w:rPr>
          <w:rFonts w:hint="eastAsia" w:ascii="宋体" w:hAnsi="宋体" w:cs="宋体"/>
          <w:color w:val="auto"/>
          <w:kern w:val="0"/>
          <w:szCs w:val="21"/>
          <w:lang w:eastAsia="zh-CN"/>
        </w:rPr>
        <w:t>日</w:t>
      </w:r>
    </w:p>
    <w:p>
      <w:pPr>
        <w:jc w:val="center"/>
        <w:rPr>
          <w:rFonts w:ascii="宋体" w:hAnsi="宋体" w:cs="宋体"/>
          <w:color w:val="auto"/>
          <w:kern w:val="0"/>
          <w:szCs w:val="21"/>
          <w:lang w:eastAsia="zh-CN"/>
        </w:rPr>
      </w:pPr>
    </w:p>
    <w:p>
      <w:pPr>
        <w:jc w:val="center"/>
        <w:rPr>
          <w:rFonts w:ascii="宋体" w:hAnsi="宋体" w:cs="宋体"/>
          <w:color w:val="auto"/>
          <w:kern w:val="0"/>
          <w:szCs w:val="21"/>
          <w:lang w:eastAsia="zh-CN"/>
        </w:rPr>
      </w:pPr>
    </w:p>
    <w:p>
      <w:pPr>
        <w:jc w:val="center"/>
        <w:rPr>
          <w:rFonts w:ascii="宋体" w:hAnsi="宋体" w:cs="宋体"/>
          <w:color w:val="auto"/>
          <w:kern w:val="0"/>
          <w:szCs w:val="21"/>
          <w:lang w:eastAsia="zh-CN"/>
        </w:rPr>
      </w:pPr>
      <w:r>
        <w:rPr>
          <w:rFonts w:hint="eastAsia" w:ascii="宋体" w:hAnsi="宋体" w:cs="宋体"/>
          <w:color w:val="auto"/>
          <w:kern w:val="0"/>
          <w:szCs w:val="21"/>
          <w:lang w:eastAsia="zh-CN"/>
        </w:rPr>
        <w:t>【经济要闻】</w:t>
      </w:r>
    </w:p>
    <w:p>
      <w:pPr>
        <w:rPr>
          <w:color w:val="auto"/>
        </w:rPr>
      </w:pPr>
    </w:p>
    <w:p>
      <w:pPr>
        <w:rPr>
          <w:color w:val="auto"/>
        </w:rPr>
      </w:pPr>
    </w:p>
    <w:p>
      <w:pPr>
        <w:jc w:val="left"/>
        <w:rPr>
          <w:rFonts w:hint="eastAsia"/>
          <w:color w:val="auto"/>
        </w:rPr>
      </w:pPr>
      <w:r>
        <w:rPr>
          <w:rFonts w:hint="eastAsia"/>
          <w:color w:val="auto"/>
        </w:rPr>
        <w:t>【国际宏观基本面信息】</w:t>
      </w:r>
    </w:p>
    <w:p>
      <w:pPr>
        <w:jc w:val="left"/>
        <w:rPr>
          <w:rFonts w:hint="eastAsia"/>
          <w:color w:val="auto"/>
        </w:rPr>
      </w:pPr>
      <w:r>
        <w:rPr>
          <w:rFonts w:hint="eastAsia"/>
          <w:color w:val="auto"/>
        </w:rPr>
        <w:t>1  ISM公布的数据显示，受新订单疲软、陷入收缩拖累，美国6月ISM制造业创两年新低。库存指数接近2010年以来的最高水平。供应商交付、订单积压指数下滑，表明供应链和产能限制似乎正在缓解。ISM数据进一步证明了美国商品的需求正在放缓。</w:t>
      </w:r>
    </w:p>
    <w:p>
      <w:pPr>
        <w:jc w:val="left"/>
        <w:rPr>
          <w:rFonts w:hint="eastAsia"/>
          <w:color w:val="auto"/>
        </w:rPr>
      </w:pPr>
      <w:r>
        <w:rPr>
          <w:rFonts w:hint="eastAsia"/>
          <w:color w:val="auto"/>
        </w:rPr>
        <w:t>2 欧盟统计局公布数据显示，欧元区调和CPI在5月同比上升8.1%后，6月继续同比上升8.6%，续创历史最高水平，并高于预期的8.5%；调和CPI环比上升0.8%，与5月持平，高于预期的0.7%。</w:t>
      </w:r>
    </w:p>
    <w:p>
      <w:pPr>
        <w:jc w:val="left"/>
        <w:rPr>
          <w:rFonts w:hint="eastAsia"/>
          <w:color w:val="auto"/>
        </w:rPr>
      </w:pPr>
      <w:r>
        <w:rPr>
          <w:rFonts w:hint="eastAsia"/>
          <w:color w:val="auto"/>
        </w:rPr>
        <w:t>3  美联储内鸽派的旧金山联储主席戴利表示，美国通胀太高，美联储必须维持货币政策紧缩路径不变。“我支持美联储在7月份进一步加息75个基点”。</w:t>
      </w:r>
    </w:p>
    <w:p>
      <w:pPr>
        <w:jc w:val="left"/>
        <w:rPr>
          <w:rFonts w:hint="eastAsia"/>
          <w:color w:val="auto"/>
        </w:rPr>
      </w:pPr>
    </w:p>
    <w:p>
      <w:pPr>
        <w:jc w:val="left"/>
        <w:rPr>
          <w:rFonts w:hint="eastAsia"/>
          <w:color w:val="auto"/>
        </w:rPr>
      </w:pPr>
      <w:r>
        <w:rPr>
          <w:rFonts w:hint="eastAsia"/>
          <w:color w:val="auto"/>
        </w:rPr>
        <w:t>【国内宏观基本面信息】</w:t>
      </w:r>
    </w:p>
    <w:p>
      <w:pPr>
        <w:jc w:val="left"/>
        <w:rPr>
          <w:rFonts w:hint="eastAsia"/>
          <w:color w:val="auto"/>
        </w:rPr>
      </w:pPr>
      <w:r>
        <w:rPr>
          <w:rFonts w:hint="eastAsia"/>
          <w:color w:val="auto"/>
        </w:rPr>
        <w:t>1  中国6月财新制造业采购经理指数（PMI）录得51.7，高于5月3.6个百分点，3月以来首次高于荣枯线，并且为2021年6月以来最高。</w:t>
      </w:r>
    </w:p>
    <w:p>
      <w:pPr>
        <w:jc w:val="left"/>
        <w:rPr>
          <w:rFonts w:hint="eastAsia"/>
          <w:color w:val="auto"/>
        </w:rPr>
      </w:pPr>
      <w:r>
        <w:rPr>
          <w:rFonts w:hint="eastAsia"/>
          <w:color w:val="auto"/>
        </w:rPr>
        <w:t>2  近日召开的国务院常务会议确定了政策性、开发性金融工具支持重大项目建设的举措。中国人民银行有关司局负责人日前表示，人民银行支持国家开发银行、中国农业发展银行分别设立金融工具，规模共3000亿元</w:t>
      </w:r>
    </w:p>
    <w:p>
      <w:pPr>
        <w:jc w:val="left"/>
        <w:rPr>
          <w:rFonts w:hint="eastAsia"/>
          <w:color w:val="auto"/>
        </w:rPr>
      </w:pPr>
      <w:r>
        <w:rPr>
          <w:rFonts w:hint="eastAsia"/>
          <w:color w:val="auto"/>
        </w:rPr>
        <w:t>3  中国央行：政策性、开发性银行运用金融工具，重点投向三类项目：一是中央财经委员会第十一次会议明确的五大基础设施重点领域，二是重大科技创新等领域，三是其他可由地方政府专项债券投资的项目。</w:t>
      </w:r>
    </w:p>
    <w:p>
      <w:pPr>
        <w:jc w:val="left"/>
        <w:rPr>
          <w:rFonts w:hint="eastAsia"/>
          <w:color w:val="auto"/>
        </w:rPr>
      </w:pPr>
      <w:r>
        <w:rPr>
          <w:rFonts w:hint="eastAsia"/>
          <w:color w:val="auto"/>
        </w:rPr>
        <w:t>4  发改委发布关于做好盘活存量资产扩大有效投资有关工作的通知</w:t>
      </w:r>
    </w:p>
    <w:p>
      <w:pPr>
        <w:jc w:val="left"/>
        <w:rPr>
          <w:rFonts w:hint="eastAsia"/>
          <w:color w:val="auto"/>
        </w:rPr>
      </w:pPr>
      <w:r>
        <w:rPr>
          <w:rFonts w:hint="eastAsia"/>
          <w:color w:val="auto"/>
        </w:rPr>
        <w:t>5  6月，房地产市场呈现出“环比显著增长、同比降幅收窄”的向好态势，百强房企单月销售业绩环比增长六成，上半年累计销售业绩和拿地规模同比降幅仍大，但降幅收窄。</w:t>
      </w:r>
    </w:p>
    <w:p>
      <w:pPr>
        <w:jc w:val="left"/>
        <w:rPr>
          <w:rFonts w:hint="eastAsia"/>
          <w:color w:val="auto"/>
        </w:rPr>
      </w:pPr>
    </w:p>
    <w:p>
      <w:pPr>
        <w:jc w:val="left"/>
        <w:rPr>
          <w:rFonts w:hint="eastAsia"/>
          <w:color w:val="auto"/>
        </w:rPr>
      </w:pPr>
      <w:r>
        <w:rPr>
          <w:rFonts w:hint="eastAsia"/>
          <w:color w:val="auto"/>
        </w:rPr>
        <w:t>【当日重要经济数据】</w:t>
      </w:r>
    </w:p>
    <w:p>
      <w:pPr>
        <w:jc w:val="left"/>
        <w:rPr>
          <w:rFonts w:hint="eastAsia"/>
          <w:color w:val="auto"/>
        </w:rPr>
      </w:pPr>
      <w:r>
        <w:rPr>
          <w:rFonts w:hint="eastAsia"/>
          <w:color w:val="auto"/>
        </w:rPr>
        <w:t>美国独立纪念日，</w:t>
      </w:r>
      <w:r>
        <w:rPr>
          <w:rFonts w:hint="eastAsia"/>
          <w:color w:val="auto"/>
        </w:rPr>
        <w:tab/>
      </w:r>
      <w:r>
        <w:rPr>
          <w:rFonts w:hint="eastAsia"/>
          <w:color w:val="auto"/>
        </w:rPr>
        <w:t>纽约交易所休市一日。CME旗下贵金属、美国原油合约交易提前于北京时间次日02:30结束。ICE旗下布伦特原油期货合约交易提前于北京时间次日01:30结束。</w:t>
      </w:r>
    </w:p>
    <w:p>
      <w:pPr>
        <w:jc w:val="left"/>
        <w:rPr>
          <w:rFonts w:hint="eastAsia"/>
          <w:color w:val="auto"/>
        </w:rPr>
      </w:pPr>
      <w:r>
        <w:rPr>
          <w:rFonts w:hint="eastAsia"/>
          <w:color w:val="auto"/>
        </w:rPr>
        <w:t>16:30</w:t>
      </w:r>
      <w:r>
        <w:rPr>
          <w:rFonts w:hint="eastAsia"/>
          <w:color w:val="auto"/>
        </w:rPr>
        <w:tab/>
      </w:r>
      <w:r>
        <w:rPr>
          <w:rFonts w:hint="eastAsia"/>
          <w:color w:val="auto"/>
        </w:rPr>
        <w:t>欧元区7月Sentix投资者信心指数</w:t>
      </w:r>
      <w:r>
        <w:rPr>
          <w:rFonts w:hint="eastAsia"/>
          <w:color w:val="auto"/>
        </w:rPr>
        <w:tab/>
      </w:r>
      <w:r>
        <w:rPr>
          <w:rFonts w:hint="eastAsia"/>
          <w:color w:val="auto"/>
        </w:rPr>
        <w:t>-15.8</w:t>
      </w:r>
      <w:r>
        <w:rPr>
          <w:rFonts w:hint="eastAsia"/>
          <w:color w:val="auto"/>
        </w:rPr>
        <w:tab/>
      </w:r>
      <w:r>
        <w:rPr>
          <w:rFonts w:hint="eastAsia"/>
          <w:color w:val="auto"/>
        </w:rPr>
        <w:t>-20</w:t>
      </w:r>
    </w:p>
    <w:p>
      <w:pPr>
        <w:jc w:val="left"/>
        <w:rPr>
          <w:rFonts w:hint="eastAsia"/>
          <w:color w:val="auto"/>
        </w:rPr>
      </w:pPr>
      <w:r>
        <w:rPr>
          <w:rFonts w:hint="eastAsia"/>
          <w:color w:val="auto"/>
        </w:rPr>
        <w:t>17:00</w:t>
      </w:r>
      <w:r>
        <w:rPr>
          <w:rFonts w:hint="eastAsia"/>
          <w:color w:val="auto"/>
        </w:rPr>
        <w:tab/>
      </w:r>
      <w:r>
        <w:rPr>
          <w:rFonts w:hint="eastAsia"/>
          <w:color w:val="auto"/>
        </w:rPr>
        <w:t>欧元区5月PPI年率(%)</w:t>
      </w:r>
      <w:r>
        <w:rPr>
          <w:rFonts w:hint="eastAsia"/>
          <w:color w:val="auto"/>
        </w:rPr>
        <w:tab/>
      </w:r>
      <w:r>
        <w:rPr>
          <w:rFonts w:hint="eastAsia"/>
          <w:color w:val="auto"/>
        </w:rPr>
        <w:t>37.2</w:t>
      </w:r>
      <w:r>
        <w:rPr>
          <w:rFonts w:hint="eastAsia"/>
          <w:color w:val="auto"/>
        </w:rPr>
        <w:tab/>
      </w:r>
      <w:r>
        <w:rPr>
          <w:rFonts w:hint="eastAsia"/>
          <w:color w:val="auto"/>
        </w:rPr>
        <w:t>37.1</w:t>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欧元区5月PPI月率(%)</w:t>
      </w:r>
      <w:r>
        <w:rPr>
          <w:rFonts w:hint="eastAsia"/>
          <w:color w:val="auto"/>
        </w:rPr>
        <w:tab/>
      </w:r>
      <w:r>
        <w:rPr>
          <w:rFonts w:hint="eastAsia"/>
          <w:color w:val="auto"/>
        </w:rPr>
        <w:t>1.2</w:t>
      </w:r>
      <w:r>
        <w:rPr>
          <w:rFonts w:hint="eastAsia"/>
          <w:color w:val="auto"/>
        </w:rPr>
        <w:tab/>
      </w:r>
      <w:r>
        <w:rPr>
          <w:rFonts w:hint="eastAsia"/>
          <w:color w:val="auto"/>
        </w:rPr>
        <w:t>1.3</w:t>
      </w:r>
    </w:p>
    <w:p>
      <w:pPr>
        <w:jc w:val="left"/>
        <w:rPr>
          <w:rFonts w:hint="eastAsia"/>
          <w:color w:val="auto"/>
        </w:rPr>
      </w:pPr>
    </w:p>
    <w:p>
      <w:pPr>
        <w:jc w:val="left"/>
        <w:rPr>
          <w:rFonts w:hint="eastAsia"/>
          <w:color w:val="auto"/>
        </w:rPr>
      </w:pPr>
      <w:r>
        <w:rPr>
          <w:rFonts w:hint="eastAsia"/>
          <w:color w:val="auto"/>
        </w:rPr>
        <w:t>【证券指数思路】</w:t>
      </w:r>
    </w:p>
    <w:p>
      <w:pPr>
        <w:jc w:val="left"/>
        <w:rPr>
          <w:rFonts w:hint="eastAsia"/>
          <w:color w:val="auto"/>
        </w:rPr>
      </w:pPr>
      <w:r>
        <w:rPr>
          <w:rFonts w:hint="eastAsia"/>
          <w:color w:val="auto"/>
        </w:rPr>
        <w:t xml:space="preserve">       周五指数早盘震荡，一度翻红，午后走弱，截至收盘，沪指跌0.32%，报3387.64点，深成指跌0.28%，报12860.36点，创业板指跌1.02%，报2781.94点，科创50指数跌1.5%。沪深两市合计成交额10513.4亿元，沪深港通今日南北向休市。</w:t>
      </w:r>
    </w:p>
    <w:p>
      <w:pPr>
        <w:jc w:val="left"/>
        <w:rPr>
          <w:rFonts w:hint="eastAsia"/>
          <w:color w:val="auto"/>
        </w:rPr>
      </w:pPr>
      <w:r>
        <w:rPr>
          <w:rFonts w:hint="eastAsia"/>
          <w:color w:val="auto"/>
        </w:rPr>
        <w:t xml:space="preserve">    指数在流动性宽松以及经济边际改善趋势下，随着市场情绪的提振，在3400点区域整理，需密切关注政策面、资金面以及外部因素的变化情况。</w:t>
      </w:r>
    </w:p>
    <w:p>
      <w:pPr>
        <w:jc w:val="left"/>
        <w:rPr>
          <w:rFonts w:hint="eastAsia"/>
          <w:color w:val="auto"/>
          <w:lang w:val="en-US" w:eastAsia="zh-CN"/>
        </w:rPr>
      </w:pPr>
    </w:p>
    <w:p>
      <w:pPr>
        <w:jc w:val="left"/>
        <w:rPr>
          <w:rFonts w:hint="eastAsia"/>
          <w:color w:val="auto"/>
          <w:lang w:val="en-US" w:eastAsia="zh-CN"/>
        </w:rPr>
      </w:pPr>
    </w:p>
    <w:p>
      <w:pPr>
        <w:jc w:val="left"/>
        <w:rPr>
          <w:rFonts w:hint="eastAsia"/>
          <w:color w:val="auto"/>
          <w:lang w:val="en-US" w:eastAsia="zh-CN"/>
        </w:rPr>
      </w:pPr>
    </w:p>
    <w:p>
      <w:pPr>
        <w:jc w:val="center"/>
        <w:rPr>
          <w:rFonts w:ascii="宋体" w:hAnsi="宋体" w:cs="宋体"/>
          <w:color w:val="auto"/>
          <w:kern w:val="0"/>
          <w:szCs w:val="21"/>
          <w:lang w:eastAsia="zh-CN"/>
        </w:rPr>
      </w:pPr>
      <w:r>
        <w:rPr>
          <w:rFonts w:hint="eastAsia" w:ascii="宋体" w:hAnsi="宋体" w:cs="宋体"/>
          <w:color w:val="auto"/>
          <w:kern w:val="0"/>
          <w:szCs w:val="21"/>
          <w:lang w:eastAsia="zh-CN"/>
        </w:rPr>
        <w:t>【分品种动态】</w:t>
      </w:r>
    </w:p>
    <w:p>
      <w:pPr>
        <w:jc w:val="both"/>
        <w:rPr>
          <w:rFonts w:ascii="黑体" w:eastAsia="黑体" w:cs="宋体"/>
          <w:color w:val="auto"/>
          <w:szCs w:val="21"/>
        </w:rPr>
      </w:pPr>
    </w:p>
    <w:p>
      <w:pPr>
        <w:rPr>
          <w:rFonts w:ascii="黑体" w:eastAsia="黑体" w:cs="宋体"/>
          <w:color w:val="auto"/>
          <w:szCs w:val="21"/>
        </w:rPr>
      </w:pPr>
    </w:p>
    <w:p>
      <w:pPr>
        <w:widowControl/>
        <w:jc w:val="left"/>
        <w:rPr>
          <w:color w:val="auto"/>
          <w:szCs w:val="21"/>
        </w:rPr>
      </w:pPr>
      <w:r>
        <w:rPr>
          <w:rFonts w:hint="eastAsia" w:ascii="黑体" w:eastAsia="黑体" w:cs="黑体"/>
          <w:color w:val="auto"/>
          <w:szCs w:val="21"/>
        </w:rPr>
        <w:t>◆农产品</w:t>
      </w:r>
    </w:p>
    <w:tbl>
      <w:tblPr>
        <w:tblStyle w:val="4"/>
        <w:tblW w:w="9004" w:type="dxa"/>
        <w:tblInd w:w="-15" w:type="dxa"/>
        <w:tblLayout w:type="fixed"/>
        <w:tblCellMar>
          <w:top w:w="0" w:type="dxa"/>
          <w:left w:w="108" w:type="dxa"/>
          <w:bottom w:w="0" w:type="dxa"/>
          <w:right w:w="108" w:type="dxa"/>
        </w:tblCellMar>
      </w:tblPr>
      <w:tblGrid>
        <w:gridCol w:w="549"/>
        <w:gridCol w:w="6405"/>
        <w:gridCol w:w="2050"/>
      </w:tblGrid>
      <w:tr>
        <w:tblPrEx>
          <w:tblCellMar>
            <w:top w:w="0" w:type="dxa"/>
            <w:left w:w="108" w:type="dxa"/>
            <w:bottom w:w="0" w:type="dxa"/>
            <w:right w:w="108" w:type="dxa"/>
          </w:tblCellMar>
        </w:tblPrEx>
        <w:trPr>
          <w:trHeight w:val="507" w:hRule="atLeast"/>
        </w:trPr>
        <w:tc>
          <w:tcPr>
            <w:tcW w:w="549" w:type="dxa"/>
            <w:tcBorders>
              <w:top w:val="single" w:color="000000" w:sz="4" w:space="0"/>
              <w:left w:val="single" w:color="000000" w:sz="4" w:space="0"/>
              <w:bottom w:val="single" w:color="000000" w:sz="4" w:space="0"/>
              <w:right w:val="nil"/>
            </w:tcBorders>
          </w:tcPr>
          <w:p>
            <w:pPr>
              <w:widowControl/>
              <w:snapToGrid w:val="0"/>
              <w:jc w:val="left"/>
              <w:rPr>
                <w:rFonts w:ascii="宋体" w:hAnsi="宋体"/>
                <w:color w:val="auto"/>
                <w:szCs w:val="21"/>
              </w:rPr>
            </w:pPr>
          </w:p>
        </w:tc>
        <w:tc>
          <w:tcPr>
            <w:tcW w:w="6405" w:type="dxa"/>
            <w:tcBorders>
              <w:top w:val="single" w:color="000000" w:sz="4" w:space="0"/>
              <w:left w:val="single" w:color="000000" w:sz="4" w:space="0"/>
              <w:bottom w:val="single" w:color="000000" w:sz="4" w:space="0"/>
              <w:right w:val="nil"/>
            </w:tcBorders>
            <w:vAlign w:val="center"/>
          </w:tcPr>
          <w:p>
            <w:pPr>
              <w:widowControl/>
              <w:rPr>
                <w:rFonts w:ascii="宋体" w:hAnsi="宋体" w:cs="宋体"/>
                <w:b/>
                <w:color w:val="auto"/>
                <w:szCs w:val="21"/>
              </w:rPr>
            </w:pPr>
            <w:r>
              <w:rPr>
                <w:rFonts w:hint="eastAsia" w:ascii="宋体" w:hAnsi="宋体" w:cs="宋体"/>
                <w:b/>
                <w:color w:val="auto"/>
                <w:szCs w:val="21"/>
              </w:rPr>
              <w:t>内外盘综述</w:t>
            </w:r>
          </w:p>
        </w:tc>
        <w:tc>
          <w:tcPr>
            <w:tcW w:w="2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b/>
                <w:color w:val="auto"/>
                <w:szCs w:val="21"/>
              </w:rPr>
            </w:pPr>
            <w:r>
              <w:rPr>
                <w:rFonts w:hint="eastAsia" w:ascii="宋体" w:hAnsi="宋体" w:cs="宋体"/>
                <w:b/>
                <w:color w:val="auto"/>
                <w:szCs w:val="21"/>
              </w:rPr>
              <w:t>简评及操作策略</w:t>
            </w:r>
          </w:p>
        </w:tc>
      </w:tr>
      <w:tr>
        <w:trPr>
          <w:trHeight w:val="669" w:hRule="atLeast"/>
        </w:trPr>
        <w:tc>
          <w:tcPr>
            <w:tcW w:w="549" w:type="dxa"/>
            <w:tcBorders>
              <w:top w:val="single" w:color="000000" w:sz="4" w:space="0"/>
              <w:left w:val="single" w:color="000000" w:sz="4" w:space="0"/>
              <w:bottom w:val="single" w:color="000000" w:sz="4" w:space="0"/>
              <w:right w:val="nil"/>
            </w:tcBorders>
          </w:tcPr>
          <w:p>
            <w:pPr>
              <w:widowControl/>
              <w:snapToGrid w:val="0"/>
              <w:jc w:val="left"/>
              <w:rPr>
                <w:rFonts w:ascii="宋体" w:hAnsi="宋体" w:cs="宋体"/>
                <w:b/>
                <w:color w:val="auto"/>
                <w:kern w:val="0"/>
                <w:szCs w:val="21"/>
                <w:lang w:eastAsia="zh-CN"/>
              </w:rPr>
            </w:pPr>
            <w:r>
              <w:rPr>
                <w:rFonts w:hint="eastAsia" w:ascii="宋体" w:hAnsi="宋体" w:cs="宋体"/>
                <w:b/>
                <w:color w:val="auto"/>
                <w:kern w:val="0"/>
                <w:szCs w:val="21"/>
                <w:lang w:eastAsia="zh-CN"/>
              </w:rPr>
              <w:t>豆粕</w:t>
            </w:r>
          </w:p>
        </w:tc>
        <w:tc>
          <w:tcPr>
            <w:tcW w:w="6405" w:type="dxa"/>
            <w:tcBorders>
              <w:top w:val="single" w:color="000000" w:sz="4" w:space="0"/>
              <w:left w:val="single" w:color="000000" w:sz="4" w:space="0"/>
              <w:bottom w:val="single" w:color="000000" w:sz="4" w:space="0"/>
              <w:right w:val="nil"/>
            </w:tcBorders>
          </w:tcPr>
          <w:p>
            <w:pPr>
              <w:ind w:firstLine="840" w:firstLineChars="400"/>
              <w:rPr>
                <w:rFonts w:hint="default" w:eastAsia="宋体"/>
                <w:color w:val="auto"/>
                <w:lang w:val="en-US" w:eastAsia="zh-CN"/>
              </w:rPr>
            </w:pPr>
            <w:r>
              <w:rPr>
                <w:rFonts w:hint="eastAsia"/>
                <w:color w:val="auto"/>
              </w:rPr>
              <w:t>隔夜外围美元收低于103.94部位；人民币离岸价收贬于6.686。欧美股市美弱欧强，小幅波动。市场缺乏驱动，受制于通胀忧虑和美联储加息的博弈局面。美原油主力8月上涨1.63美元，报每桶109.21美元。投资者等待在德国举办的G7领导人会议上，任何针对俄罗斯石油和天然气出口的新的规定。芝加哥(CBOT)大豆收高，交易商称，因上周大幅下跌后出现空头回补，以及美国现货市场在旧作大豆供应减少的情况下坚挺。CBOT 7月大豆收涨19-3/4美分，结算价报每蒲式耳16.30-1/2美元，11月新作大豆合约收涨8-1/2美分，结算价报14.32-3/4美元。豆粕和豆油期货走强带来支撑。7月豆粕收涨10.10美元，结算价报每短吨442.70美元。7月豆油收涨1.07美分，结算价报每磅70.82美分。12月豆油上涨0.73美分，结算价报每磅65.68美分。美国农业部周度出口检验报告显示，截至2022年6月23日当周，美国大豆出口检验量为46.8万吨，与市场预估的30-57.5万吨相符。当周，对中国大陆的大豆出口检验量为8.1万吨，占出口检验总量的17.2%。咨询机构战略谷物（Strategie Grains）表示，受预计收成增加以及从乌克兰持续进口的影响，欧盟油菜籽和葵花籽价格预计将在2022/23年度从本年度的高位回落。分析人士预计，美国农业部周四公布的数据将显示，与3月的预测相比，美国大豆和春小麦种植面积料将减少。盘后，美国农业部在每周作物生长报告中公布称，截至2022年6月26日当周，美国大豆生长优良率为65%，而分析师平均预估为68%，前一周为68%，去年同期为60%。　</w:t>
            </w:r>
          </w:p>
        </w:tc>
        <w:tc>
          <w:tcPr>
            <w:tcW w:w="2050" w:type="dxa"/>
            <w:tcBorders>
              <w:top w:val="single" w:color="000000" w:sz="4" w:space="0"/>
              <w:left w:val="single" w:color="000000" w:sz="4" w:space="0"/>
              <w:bottom w:val="single" w:color="000000" w:sz="4" w:space="0"/>
              <w:right w:val="single" w:color="000000" w:sz="4" w:space="0"/>
            </w:tcBorders>
          </w:tcPr>
          <w:p>
            <w:pPr>
              <w:widowControl/>
              <w:suppressAutoHyphens w:val="0"/>
              <w:jc w:val="left"/>
              <w:rPr>
                <w:rFonts w:hint="eastAsia"/>
                <w:b/>
                <w:color w:val="auto"/>
                <w:lang w:eastAsia="zh-CN"/>
              </w:rPr>
            </w:pPr>
            <w:r>
              <w:rPr>
                <w:rFonts w:hint="eastAsia"/>
                <w:b/>
                <w:color w:val="auto"/>
                <w:lang w:eastAsia="zh-CN"/>
              </w:rPr>
              <w:t>框架如前，美豆自高价圈区间低沿反弹。面积天气将随着周四晚报告而落定，而单产天气才刚刚开始。大连盘跟随。9月油粕比在2.65；粕9－1逆差在226点。粕9日内看围绕3850的波动，宜灵活。　</w:t>
            </w:r>
          </w:p>
          <w:p>
            <w:pPr>
              <w:widowControl/>
              <w:suppressAutoHyphens w:val="0"/>
              <w:jc w:val="left"/>
              <w:rPr>
                <w:rFonts w:hint="eastAsia"/>
                <w:b/>
                <w:color w:val="auto"/>
                <w:lang w:eastAsia="zh-CN"/>
              </w:rPr>
            </w:pPr>
          </w:p>
          <w:p>
            <w:pPr>
              <w:widowControl/>
              <w:suppressAutoHyphens w:val="0"/>
              <w:jc w:val="left"/>
              <w:rPr>
                <w:b/>
                <w:color w:val="auto"/>
                <w:lang w:eastAsia="zh-CN"/>
              </w:rPr>
            </w:pPr>
            <w:r>
              <w:rPr>
                <w:rFonts w:hint="eastAsia"/>
                <w:b/>
                <w:color w:val="auto"/>
                <w:lang w:eastAsia="zh-CN"/>
              </w:rPr>
              <w:t>（农产品部）</w:t>
            </w:r>
          </w:p>
        </w:tc>
      </w:tr>
      <w:tr>
        <w:tblPrEx>
          <w:tblCellMar>
            <w:top w:w="0" w:type="dxa"/>
            <w:left w:w="108" w:type="dxa"/>
            <w:bottom w:w="0" w:type="dxa"/>
            <w:right w:w="108" w:type="dxa"/>
          </w:tblCellMar>
        </w:tblPrEx>
        <w:trPr>
          <w:trHeight w:val="669" w:hRule="atLeast"/>
        </w:trPr>
        <w:tc>
          <w:tcPr>
            <w:tcW w:w="549" w:type="dxa"/>
            <w:tcBorders>
              <w:top w:val="single" w:color="000000" w:sz="4" w:space="0"/>
              <w:left w:val="single" w:color="000000" w:sz="4" w:space="0"/>
              <w:bottom w:val="single" w:color="000000" w:sz="4" w:space="0"/>
              <w:right w:val="nil"/>
            </w:tcBorders>
            <w:vAlign w:val="top"/>
          </w:tcPr>
          <w:p>
            <w:pPr>
              <w:widowControl/>
              <w:snapToGrid w:val="0"/>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棉花</w:t>
            </w:r>
          </w:p>
        </w:tc>
        <w:tc>
          <w:tcPr>
            <w:tcW w:w="6405" w:type="dxa"/>
            <w:tcBorders>
              <w:top w:val="single" w:color="000000" w:sz="4" w:space="0"/>
              <w:left w:val="single" w:color="000000" w:sz="4" w:space="0"/>
              <w:bottom w:val="single" w:color="000000" w:sz="4" w:space="0"/>
              <w:right w:val="nil"/>
            </w:tcBorders>
            <w:vAlign w:val="top"/>
          </w:tcPr>
          <w:p>
            <w:pPr>
              <w:ind w:firstLine="840" w:firstLineChars="400"/>
              <w:rPr>
                <w:rFonts w:hint="eastAsia" w:ascii="Times New Roman" w:hAnsi="Times New Roman" w:eastAsia="宋体" w:cs="Times New Roman"/>
                <w:color w:val="auto"/>
                <w:kern w:val="2"/>
                <w:sz w:val="21"/>
                <w:lang w:val="en-US" w:eastAsia="zh-CN" w:bidi="ar-SA"/>
              </w:rPr>
            </w:pPr>
            <w:r>
              <w:rPr>
                <w:rFonts w:hint="eastAsia"/>
                <w:color w:val="auto"/>
              </w:rPr>
              <w:t>7月1日，棉花现货指数CCI3128B报价至18369元/吨（+28），期现价差-714（09合约收盘价-现货价），涤纶短纤报价8470元/吨(+0)，黏胶短纤报价15600元/吨（+0）；CY Index C32S报价27790元/吨（+0），FCY Index C32S(进口棉纱价格指数)报价32028元/吨（+55）；郑棉仓单15274（-61），有效预报861（-32）。美国EMOT M到港价143.75分/磅（+4）；巴西M到港价143.5美分/磅（+4）。情绪化后，美棉关注自身的低库存，天气干旱依然存在，95美分的棉价借着天气反弹也正常，借着原油外围走弱也正常，因此看震荡。国内7月是政策窗口，过去7月开始抛储，今年虽然新疆棉售卖难，但是考虑新疆棉禁令，纺企日子不好过，政府抛储来缓解纺企难题也算合理，也好为收储腾挪空间，关注近期的政策。供求面，花纱价差转好，订单不足导致企业补库的信心不足，供应充足。</w:t>
            </w:r>
          </w:p>
        </w:tc>
        <w:tc>
          <w:tcPr>
            <w:tcW w:w="2050" w:type="dxa"/>
            <w:tcBorders>
              <w:top w:val="single" w:color="000000" w:sz="4" w:space="0"/>
              <w:left w:val="single" w:color="000000" w:sz="4" w:space="0"/>
              <w:bottom w:val="single" w:color="000000" w:sz="4" w:space="0"/>
              <w:right w:val="single" w:color="000000" w:sz="4" w:space="0"/>
            </w:tcBorders>
            <w:vAlign w:val="top"/>
          </w:tcPr>
          <w:p>
            <w:pPr>
              <w:widowControl/>
              <w:suppressAutoHyphens w:val="0"/>
              <w:jc w:val="left"/>
              <w:rPr>
                <w:rFonts w:hint="eastAsia"/>
                <w:b/>
                <w:color w:val="auto"/>
                <w:lang w:eastAsia="zh-CN"/>
              </w:rPr>
            </w:pPr>
            <w:r>
              <w:rPr>
                <w:rFonts w:hint="eastAsia"/>
                <w:b/>
                <w:color w:val="auto"/>
                <w:lang w:eastAsia="zh-CN"/>
              </w:rPr>
              <w:t>操作上，震荡对待，观望为主。</w:t>
            </w:r>
          </w:p>
          <w:p>
            <w:pPr>
              <w:widowControl/>
              <w:suppressAutoHyphens w:val="0"/>
              <w:jc w:val="left"/>
              <w:rPr>
                <w:rFonts w:hint="eastAsia" w:ascii="Times New Roman" w:hAnsi="Times New Roman" w:eastAsia="宋体" w:cs="Times New Roman"/>
                <w:b/>
                <w:color w:val="auto"/>
                <w:kern w:val="2"/>
                <w:sz w:val="21"/>
                <w:lang w:val="en-US" w:eastAsia="zh-CN" w:bidi="ar-SA"/>
              </w:rPr>
            </w:pPr>
            <w:r>
              <w:rPr>
                <w:rFonts w:hint="eastAsia"/>
                <w:b/>
                <w:color w:val="auto"/>
                <w:lang w:eastAsia="zh-CN"/>
              </w:rPr>
              <w:t>（</w:t>
            </w:r>
            <w:r>
              <w:rPr>
                <w:rFonts w:hint="eastAsia"/>
                <w:b/>
                <w:color w:val="auto"/>
                <w:lang w:val="en-US" w:eastAsia="zh-CN"/>
              </w:rPr>
              <w:t>苗玲</w:t>
            </w:r>
            <w:r>
              <w:rPr>
                <w:rFonts w:hint="eastAsia"/>
                <w:b/>
                <w:color w:val="auto"/>
                <w:lang w:eastAsia="zh-CN"/>
              </w:rPr>
              <w:t>）</w:t>
            </w:r>
          </w:p>
        </w:tc>
      </w:tr>
    </w:tbl>
    <w:p>
      <w:pPr>
        <w:widowControl/>
        <w:jc w:val="left"/>
        <w:rPr>
          <w:rFonts w:hint="eastAsia" w:ascii="黑体" w:eastAsia="黑体" w:cs="宋体"/>
          <w:color w:val="auto"/>
          <w:szCs w:val="21"/>
        </w:rPr>
      </w:pPr>
    </w:p>
    <w:p>
      <w:pPr>
        <w:widowControl/>
        <w:jc w:val="left"/>
        <w:rPr>
          <w:rFonts w:ascii="黑体" w:eastAsia="黑体" w:cs="宋体"/>
          <w:color w:val="auto"/>
          <w:szCs w:val="21"/>
        </w:rPr>
        <w:sectPr>
          <w:headerReference r:id="rId3" w:type="default"/>
          <w:footerReference r:id="rId4" w:type="default"/>
          <w:pgSz w:w="11906" w:h="16838"/>
          <w:pgMar w:top="907" w:right="1797" w:bottom="1134" w:left="1797" w:header="510" w:footer="992" w:gutter="0"/>
          <w:cols w:space="720" w:num="1"/>
          <w:docGrid w:type="lines" w:linePitch="312" w:charSpace="0"/>
        </w:sectPr>
      </w:pPr>
      <w:r>
        <w:rPr>
          <w:rFonts w:hint="eastAsia" w:ascii="黑体" w:eastAsia="黑体" w:cs="宋体"/>
          <w:color w:val="auto"/>
          <w:szCs w:val="21"/>
        </w:rPr>
        <w:t>◆工业品</w:t>
      </w:r>
    </w:p>
    <w:p>
      <w:pPr>
        <w:rPr>
          <w:color w:val="auto"/>
          <w:szCs w:val="21"/>
        </w:rPr>
        <w:sectPr>
          <w:type w:val="continuous"/>
          <w:pgSz w:w="11906" w:h="16838"/>
          <w:pgMar w:top="1440" w:right="1797" w:bottom="1134" w:left="1797" w:header="851" w:footer="992" w:gutter="0"/>
          <w:cols w:space="720" w:num="1"/>
          <w:docGrid w:type="lines" w:linePitch="312" w:charSpace="0"/>
        </w:sectPr>
      </w:pPr>
    </w:p>
    <w:tbl>
      <w:tblPr>
        <w:tblStyle w:val="4"/>
        <w:tblW w:w="8994" w:type="dxa"/>
        <w:tblInd w:w="0" w:type="dxa"/>
        <w:tblLayout w:type="fixed"/>
        <w:tblCellMar>
          <w:top w:w="0" w:type="dxa"/>
          <w:left w:w="108" w:type="dxa"/>
          <w:bottom w:w="0" w:type="dxa"/>
          <w:right w:w="108" w:type="dxa"/>
        </w:tblCellMar>
      </w:tblPr>
      <w:tblGrid>
        <w:gridCol w:w="534"/>
        <w:gridCol w:w="6410"/>
        <w:gridCol w:w="2050"/>
      </w:tblGrid>
      <w:tr>
        <w:tblPrEx>
          <w:tblCellMar>
            <w:top w:w="0" w:type="dxa"/>
            <w:left w:w="108" w:type="dxa"/>
            <w:bottom w:w="0" w:type="dxa"/>
            <w:right w:w="108" w:type="dxa"/>
          </w:tblCellMar>
        </w:tblPrEx>
        <w:trPr>
          <w:cantSplit/>
          <w:trHeight w:val="480" w:hRule="atLeast"/>
        </w:trPr>
        <w:tc>
          <w:tcPr>
            <w:tcW w:w="534" w:type="dxa"/>
            <w:tcBorders>
              <w:top w:val="single" w:color="000000" w:sz="4" w:space="0"/>
              <w:left w:val="single" w:color="000000" w:sz="4" w:space="0"/>
              <w:bottom w:val="single" w:color="000000" w:sz="4" w:space="0"/>
              <w:right w:val="nil"/>
            </w:tcBorders>
          </w:tcPr>
          <w:p>
            <w:pPr>
              <w:widowControl/>
              <w:snapToGrid w:val="0"/>
              <w:jc w:val="left"/>
              <w:rPr>
                <w:rFonts w:ascii="宋体" w:hAnsi="宋体" w:cs="黑体"/>
                <w:color w:val="auto"/>
                <w:szCs w:val="21"/>
              </w:rPr>
            </w:pPr>
          </w:p>
        </w:tc>
        <w:tc>
          <w:tcPr>
            <w:tcW w:w="6410" w:type="dxa"/>
            <w:tcBorders>
              <w:top w:val="single" w:color="000000" w:sz="4" w:space="0"/>
              <w:left w:val="single" w:color="000000" w:sz="4" w:space="0"/>
              <w:bottom w:val="single" w:color="000000" w:sz="4" w:space="0"/>
              <w:right w:val="nil"/>
            </w:tcBorders>
            <w:vAlign w:val="center"/>
          </w:tcPr>
          <w:p>
            <w:pPr>
              <w:rPr>
                <w:rFonts w:ascii="宋体" w:hAnsi="宋体" w:cs="宋体"/>
                <w:b/>
                <w:color w:val="auto"/>
                <w:szCs w:val="21"/>
              </w:rPr>
            </w:pPr>
            <w:r>
              <w:rPr>
                <w:rFonts w:hint="eastAsia" w:ascii="宋体" w:hAnsi="宋体" w:cs="宋体"/>
                <w:b/>
                <w:color w:val="auto"/>
                <w:szCs w:val="21"/>
              </w:rPr>
              <w:t>内外盘综述</w:t>
            </w:r>
          </w:p>
        </w:tc>
        <w:tc>
          <w:tcPr>
            <w:tcW w:w="20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b/>
                <w:color w:val="auto"/>
                <w:szCs w:val="21"/>
              </w:rPr>
            </w:pPr>
            <w:r>
              <w:rPr>
                <w:rFonts w:hint="eastAsia" w:ascii="宋体" w:hAnsi="宋体" w:cs="宋体"/>
                <w:b/>
                <w:color w:val="auto"/>
                <w:szCs w:val="21"/>
              </w:rPr>
              <w:t>简评及操作策略</w:t>
            </w:r>
          </w:p>
        </w:tc>
      </w:tr>
      <w:tr>
        <w:tblPrEx>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tcPr>
          <w:p>
            <w:pPr>
              <w:widowControl/>
              <w:jc w:val="left"/>
              <w:rPr>
                <w:rFonts w:hint="default" w:ascii="宋体" w:hAnsi="宋体" w:cs="宋体"/>
                <w:b/>
                <w:color w:val="auto"/>
                <w:kern w:val="0"/>
                <w:szCs w:val="21"/>
                <w:lang w:val="en-US" w:eastAsia="zh-CN"/>
              </w:rPr>
            </w:pPr>
            <w:r>
              <w:rPr>
                <w:rFonts w:hint="eastAsia" w:ascii="宋体" w:hAnsi="宋体" w:cs="宋体"/>
                <w:b/>
                <w:color w:val="auto"/>
                <w:kern w:val="0"/>
                <w:szCs w:val="21"/>
                <w:lang w:val="en-US" w:eastAsia="zh-CN"/>
              </w:rPr>
              <w:t>钢材</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rPr>
            </w:pPr>
            <w:r>
              <w:rPr>
                <w:rFonts w:hint="eastAsia"/>
                <w:color w:val="auto"/>
              </w:rPr>
              <w:t>钢材价格周五走势回落，螺纹2210合约收于4220，热卷2210合约收于4252。现货方面，1日唐山普方坯出厂价报4000（-40），上海地区螺纹钢现货价格(HRB400 20mm)4310元（-40），热卷现货价格(4.75mm)4350元（-50）。</w:t>
            </w:r>
          </w:p>
          <w:p>
            <w:pPr>
              <w:widowControl/>
              <w:suppressAutoHyphens w:val="0"/>
              <w:ind w:firstLine="630" w:firstLineChars="300"/>
              <w:jc w:val="left"/>
              <w:rPr>
                <w:rFonts w:hint="eastAsia"/>
                <w:color w:val="auto"/>
              </w:rPr>
            </w:pPr>
            <w:r>
              <w:rPr>
                <w:rFonts w:hint="eastAsia"/>
                <w:color w:val="auto"/>
              </w:rPr>
              <w:t>6月财新中国制造业采购经理人指数（PMI）录得51.7，高于5月3.6个百分点，3月以来首次高于荣枯线，为2021年6月以来最高。</w:t>
            </w:r>
          </w:p>
          <w:p>
            <w:pPr>
              <w:widowControl/>
              <w:suppressAutoHyphens w:val="0"/>
              <w:ind w:firstLine="630" w:firstLineChars="300"/>
              <w:jc w:val="left"/>
              <w:rPr>
                <w:rFonts w:hint="eastAsia"/>
                <w:color w:val="auto"/>
              </w:rPr>
            </w:pPr>
            <w:r>
              <w:rPr>
                <w:rFonts w:hint="eastAsia"/>
                <w:color w:val="auto"/>
              </w:rPr>
              <w:t>近来国家发展改革委展开密集摸底，地方发展改革部门也陆续召开分析座谈会，根据这些会议释放的信号，当前经济逐步向好，保持良好复苏态势，但稳增长压力依然较大。下一阶段，助力企业满产稳产、因地制宜出台提振消费政策、有序有效推进重大项目建设等仍是重中之重。</w:t>
            </w:r>
          </w:p>
          <w:p>
            <w:pPr>
              <w:widowControl/>
              <w:suppressAutoHyphens w:val="0"/>
              <w:ind w:firstLine="630" w:firstLineChars="300"/>
              <w:jc w:val="left"/>
              <w:rPr>
                <w:rFonts w:hint="eastAsia"/>
                <w:color w:val="auto"/>
              </w:rPr>
            </w:pPr>
            <w:r>
              <w:rPr>
                <w:rFonts w:hint="eastAsia"/>
                <w:color w:val="auto"/>
              </w:rPr>
              <w:t>最新统计显示，6月房地产行业在境内债券市场净融资逾160亿元，连续第5个月保持净融资为正值，并创出过去12个月的新高。</w:t>
            </w:r>
          </w:p>
          <w:p>
            <w:pPr>
              <w:widowControl/>
              <w:suppressAutoHyphens w:val="0"/>
              <w:ind w:firstLine="630" w:firstLineChars="300"/>
              <w:jc w:val="left"/>
              <w:rPr>
                <w:rFonts w:hint="eastAsia"/>
                <w:color w:val="auto"/>
              </w:rPr>
            </w:pPr>
            <w:r>
              <w:rPr>
                <w:rFonts w:hint="eastAsia"/>
                <w:color w:val="auto"/>
              </w:rPr>
              <w:t>7月1日，Mysteel全国85家独立电弧炉钢厂开工率为48.19%，周环比下降9.46%，同比下降32.6%，平均产能利用率为35.59%，周环比下降8.26%，同比下降38.76%，创同期新低。日均粗钢产量周环比下降18.84%，样本电弧炉钢厂81.18%处于亏损状态。</w:t>
            </w:r>
          </w:p>
          <w:p>
            <w:pPr>
              <w:widowControl/>
              <w:suppressAutoHyphens w:val="0"/>
              <w:ind w:firstLine="630" w:firstLineChars="300"/>
              <w:jc w:val="left"/>
              <w:rPr>
                <w:rFonts w:hint="eastAsia" w:eastAsia="宋体"/>
                <w:color w:val="auto"/>
                <w:lang w:val="en-US" w:eastAsia="zh-CN"/>
              </w:rPr>
            </w:pPr>
            <w:r>
              <w:rPr>
                <w:rFonts w:hint="eastAsia"/>
                <w:color w:val="auto"/>
              </w:rPr>
              <w:t>本周钢材产量小幅回落，螺纹产量下降较为明显，钢厂产量从螺纹向热卷倾斜。卷螺周度消费量回升，钢材总库存下降。国家修改防疫标准，取消行程码挂星，房企给出短期市场已触底的判断，经过6月的恢复，上海经济逐渐返回常态，宏观层面逐渐转向情绪稳定，内需型的钢材走势经历大跌后逐步走稳，筑底反弹。供应端由于当前钢厂利润的低迷，各地长流程检修逐渐增多，短流程电炉开工率持续维持低位，长周期看下半年由于国家粗钢的压产政策，钢厂的产量重心预计也将较上半年有所降低。</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短期内消费淡季格局仍然维持，钢材价格预计震荡承压走势，保持观望态势。</w:t>
            </w:r>
          </w:p>
          <w:p>
            <w:pPr>
              <w:rPr>
                <w:rFonts w:hint="eastAsia"/>
                <w:b/>
                <w:color w:val="auto"/>
                <w:lang w:eastAsia="zh-CN"/>
              </w:rPr>
            </w:pPr>
          </w:p>
          <w:p>
            <w:pPr>
              <w:rPr>
                <w:b/>
                <w:color w:val="auto"/>
                <w:lang w:eastAsia="zh-CN"/>
              </w:rPr>
            </w:pPr>
            <w:r>
              <w:rPr>
                <w:rFonts w:hint="eastAsia"/>
                <w:b/>
                <w:color w:val="auto"/>
                <w:lang w:eastAsia="zh-CN"/>
              </w:rPr>
              <w:t>(黄</w:t>
            </w:r>
            <w:r>
              <w:rPr>
                <w:rFonts w:hint="eastAsia"/>
                <w:b/>
                <w:color w:val="auto"/>
                <w:lang w:eastAsia="zh-CN"/>
              </w:rPr>
              <w:t>天罡)</w:t>
            </w:r>
          </w:p>
        </w:tc>
      </w:tr>
      <w:tr>
        <w:tblPrEx>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铁矿石</w:t>
            </w:r>
          </w:p>
        </w:tc>
        <w:tc>
          <w:tcPr>
            <w:tcW w:w="6410" w:type="dxa"/>
            <w:tcBorders>
              <w:top w:val="single" w:color="000000" w:sz="4" w:space="0"/>
              <w:left w:val="single" w:color="000000" w:sz="4" w:space="0"/>
              <w:bottom w:val="single" w:color="000000" w:sz="4" w:space="0"/>
              <w:right w:val="nil"/>
            </w:tcBorders>
          </w:tcPr>
          <w:p>
            <w:pPr>
              <w:widowControl/>
              <w:suppressAutoHyphens w:val="0"/>
              <w:jc w:val="left"/>
              <w:rPr>
                <w:rFonts w:hint="eastAsia"/>
                <w:color w:val="auto"/>
                <w:lang w:val="en-US" w:eastAsia="zh-CN"/>
              </w:rPr>
            </w:pPr>
            <w:r>
              <w:rPr>
                <w:rFonts w:hint="eastAsia"/>
                <w:color w:val="auto"/>
                <w:lang w:val="en-US" w:eastAsia="zh-CN"/>
              </w:rPr>
              <w:t xml:space="preserve">    全国45个港口进口铁矿库存为12571.57，环比降93.69；</w:t>
            </w:r>
          </w:p>
          <w:p>
            <w:pPr>
              <w:widowControl/>
              <w:suppressAutoHyphens w:val="0"/>
              <w:jc w:val="left"/>
              <w:rPr>
                <w:rFonts w:hint="eastAsia"/>
                <w:color w:val="auto"/>
                <w:lang w:val="en-US" w:eastAsia="zh-CN"/>
              </w:rPr>
            </w:pPr>
            <w:r>
              <w:rPr>
                <w:rFonts w:hint="eastAsia"/>
                <w:color w:val="auto"/>
                <w:lang w:val="en-US" w:eastAsia="zh-CN"/>
              </w:rPr>
              <w:t xml:space="preserve">    日均疏港量294.55降11.68。</w:t>
            </w:r>
          </w:p>
          <w:p>
            <w:pPr>
              <w:widowControl/>
              <w:suppressAutoHyphens w:val="0"/>
              <w:jc w:val="left"/>
              <w:rPr>
                <w:rFonts w:hint="eastAsia"/>
                <w:color w:val="auto"/>
                <w:lang w:val="en-US" w:eastAsia="zh-CN"/>
              </w:rPr>
            </w:pPr>
            <w:r>
              <w:rPr>
                <w:rFonts w:hint="eastAsia"/>
                <w:color w:val="auto"/>
                <w:lang w:val="en-US" w:eastAsia="zh-CN"/>
              </w:rPr>
              <w:t xml:space="preserve">    247家钢厂高炉开工率80.79%，环比上周下降1.13%，同比去年增加16.91%；</w:t>
            </w:r>
          </w:p>
          <w:p>
            <w:pPr>
              <w:widowControl/>
              <w:suppressAutoHyphens w:val="0"/>
              <w:jc w:val="left"/>
              <w:rPr>
                <w:rFonts w:hint="eastAsia"/>
                <w:color w:val="auto"/>
                <w:lang w:val="en-US" w:eastAsia="zh-CN"/>
              </w:rPr>
            </w:pPr>
            <w:r>
              <w:rPr>
                <w:rFonts w:hint="eastAsia"/>
                <w:color w:val="auto"/>
                <w:lang w:val="en-US" w:eastAsia="zh-CN"/>
              </w:rPr>
              <w:t xml:space="preserve">    高炉炼铁产能利用率87.61%，环比下降1.37%，同比增加6.97%；</w:t>
            </w:r>
          </w:p>
          <w:p>
            <w:pPr>
              <w:widowControl/>
              <w:suppressAutoHyphens w:val="0"/>
              <w:jc w:val="left"/>
              <w:rPr>
                <w:rFonts w:hint="eastAsia"/>
                <w:color w:val="auto"/>
                <w:lang w:val="en-US" w:eastAsia="zh-CN"/>
              </w:rPr>
            </w:pPr>
            <w:r>
              <w:rPr>
                <w:rFonts w:hint="eastAsia"/>
                <w:color w:val="auto"/>
                <w:lang w:val="en-US" w:eastAsia="zh-CN"/>
              </w:rPr>
              <w:t xml:space="preserve">    钢厂盈利率16.02%，环比增加0.87%，同比下降55.41%；</w:t>
            </w:r>
          </w:p>
          <w:p>
            <w:pPr>
              <w:widowControl/>
              <w:suppressAutoHyphens w:val="0"/>
              <w:jc w:val="left"/>
              <w:rPr>
                <w:rFonts w:hint="eastAsia"/>
                <w:color w:val="auto"/>
                <w:lang w:val="en-US" w:eastAsia="zh-CN"/>
              </w:rPr>
            </w:pPr>
            <w:r>
              <w:rPr>
                <w:rFonts w:hint="eastAsia"/>
                <w:color w:val="auto"/>
                <w:lang w:val="en-US" w:eastAsia="zh-CN"/>
              </w:rPr>
              <w:t xml:space="preserve">    日均铁水产量235.96万吨，环比下降3.69万吨，同比增加19.33万吨。</w:t>
            </w:r>
          </w:p>
          <w:p>
            <w:pPr>
              <w:widowControl/>
              <w:suppressAutoHyphens w:val="0"/>
              <w:jc w:val="left"/>
              <w:rPr>
                <w:rFonts w:hint="default" w:eastAsia="宋体"/>
                <w:color w:val="auto"/>
                <w:lang w:val="en-US" w:eastAsia="zh-CN"/>
              </w:rPr>
            </w:pPr>
            <w:r>
              <w:rPr>
                <w:rFonts w:hint="eastAsia"/>
                <w:color w:val="auto"/>
                <w:lang w:val="en-US" w:eastAsia="zh-CN"/>
              </w:rPr>
              <w:t xml:space="preserve">    近期市场终端需求改善有限，钢铁利润低位甚至亏损，压制原料价格的反弹空间，而粗钢压减政策下，下半年生铁产量仍有较大的下行空间，海内外供应端逐步释放，铁矿石市场供需趋于宽松，港口库存或将在7月份见到拐点。</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短线震荡偏弱运行，波段偏空思路操作；中期供需格局逐渐宽松，保持逢反弹沽空的思路。</w:t>
            </w:r>
          </w:p>
          <w:p>
            <w:pPr>
              <w:rPr>
                <w:rFonts w:hint="eastAsia"/>
                <w:b/>
                <w:color w:val="auto"/>
                <w:lang w:eastAsia="zh-CN"/>
              </w:rPr>
            </w:pPr>
          </w:p>
          <w:p>
            <w:pPr>
              <w:rPr>
                <w:rFonts w:hint="eastAsia"/>
                <w:b/>
                <w:color w:val="auto"/>
                <w:lang w:eastAsia="zh-CN"/>
              </w:rPr>
            </w:pPr>
            <w:r>
              <w:rPr>
                <w:rFonts w:hint="eastAsia"/>
                <w:b/>
                <w:color w:val="auto"/>
                <w:lang w:eastAsia="zh-CN"/>
              </w:rPr>
              <w:t>(杨</w:t>
            </w:r>
            <w:r>
              <w:rPr>
                <w:rFonts w:hint="eastAsia"/>
                <w:b/>
                <w:color w:val="auto"/>
                <w:lang w:eastAsia="zh-CN"/>
              </w:rPr>
              <w:t>俊林)</w:t>
            </w:r>
          </w:p>
          <w:p>
            <w:pPr>
              <w:rPr>
                <w:rFonts w:hint="eastAsia"/>
                <w:b/>
                <w:color w:val="auto"/>
                <w:lang w:eastAsia="zh-CN"/>
              </w:rPr>
            </w:pPr>
          </w:p>
        </w:tc>
      </w:tr>
      <w:tr>
        <w:tblPrEx>
          <w:tblCellMar>
            <w:top w:w="0" w:type="dxa"/>
            <w:left w:w="108" w:type="dxa"/>
            <w:bottom w:w="0" w:type="dxa"/>
            <w:right w:w="108" w:type="dxa"/>
          </w:tblCellMar>
        </w:tblPrEx>
        <w:trPr>
          <w:cantSplit/>
          <w:trHeight w:val="4922"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煤焦</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rPr>
            </w:pPr>
            <w:r>
              <w:rPr>
                <w:rFonts w:hint="eastAsia"/>
                <w:color w:val="auto"/>
              </w:rPr>
              <w:t>现货市场，双焦价格偏弱运行。山西介休1.3硫主焦2500元/吨，蒙5金泉提货价2350元/吨，加拿大主焦到港价430美元/吨；吕梁准一出厂价2950元/吨，唐山二级焦到厂价3050元/吨，青岛港准一焦平仓价3200元/吨。</w:t>
            </w:r>
          </w:p>
          <w:p>
            <w:pPr>
              <w:widowControl/>
              <w:suppressAutoHyphens w:val="0"/>
              <w:ind w:firstLine="630" w:firstLineChars="300"/>
              <w:jc w:val="left"/>
              <w:rPr>
                <w:rFonts w:hint="eastAsia"/>
                <w:color w:val="auto"/>
              </w:rPr>
            </w:pPr>
            <w:r>
              <w:rPr>
                <w:rFonts w:hint="eastAsia"/>
                <w:color w:val="auto"/>
              </w:rPr>
              <w:t>双休日，河北唐山方坯出厂价格累计下跌60元，报3940元/吨，较上周日下跌20元；国内在营业市场建筑钢价出现回落，其中，华北、华东和西南部分钢厂追跌，市场价格下调，低价出货情况尚可。</w:t>
            </w:r>
          </w:p>
          <w:p>
            <w:pPr>
              <w:widowControl/>
              <w:suppressAutoHyphens w:val="0"/>
              <w:ind w:firstLine="630" w:firstLineChars="300"/>
              <w:jc w:val="left"/>
              <w:rPr>
                <w:rFonts w:hint="eastAsia"/>
                <w:color w:val="auto"/>
              </w:rPr>
            </w:pPr>
            <w:r>
              <w:rPr>
                <w:rFonts w:hint="eastAsia"/>
                <w:color w:val="auto"/>
              </w:rPr>
              <w:t>今日疫情在多地呈现散发状况。安徽泗县7月3日新增新冠肺炎阳性病例234例，其中确诊病例20例，无症状感染者214例；安徽灵璧县新增无症状感染者30例；7月3日，无锡市在对集中隔离和重点风险人员进行核酸检测中发现35名初筛阳性。</w:t>
            </w:r>
          </w:p>
          <w:p>
            <w:pPr>
              <w:widowControl/>
              <w:suppressAutoHyphens w:val="0"/>
              <w:ind w:firstLine="630" w:firstLineChars="300"/>
              <w:jc w:val="left"/>
              <w:rPr>
                <w:rFonts w:hint="eastAsia" w:eastAsia="宋体"/>
                <w:color w:val="auto"/>
                <w:lang w:val="en-US" w:eastAsia="zh-CN"/>
              </w:rPr>
            </w:pPr>
            <w:r>
              <w:rPr>
                <w:rFonts w:hint="eastAsia"/>
                <w:color w:val="auto"/>
              </w:rPr>
              <w:t>整体来看，受近期疫情散发影响，需求预期相对削弱，黑色市场负反馈的压力仍在，周末钢价下调，双焦价格未来继续下行的压力增大，盘面也有进一步走弱的可能。不过仍需关注终端需求表现，上周成材表需有一定回升，成材库存压力部分减轻，关注其持续性。</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操作上，短线偏空思路。</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auto"/>
                <w:lang w:eastAsia="zh-CN"/>
              </w:rPr>
              <w:t>李岩）</w:t>
            </w:r>
          </w:p>
        </w:tc>
      </w:tr>
      <w:tr>
        <w:tblPrEx>
          <w:tblCellMar>
            <w:top w:w="0" w:type="dxa"/>
            <w:left w:w="108" w:type="dxa"/>
            <w:bottom w:w="0" w:type="dxa"/>
            <w:right w:w="108" w:type="dxa"/>
          </w:tblCellMar>
        </w:tblPrEx>
        <w:trPr>
          <w:cantSplit/>
          <w:trHeight w:val="934"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铝</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lang w:val="en-US" w:eastAsia="zh-CN"/>
              </w:rPr>
            </w:pPr>
            <w:r>
              <w:rPr>
                <w:rFonts w:hint="eastAsia"/>
                <w:color w:val="auto"/>
                <w:lang w:val="en-US" w:eastAsia="zh-CN"/>
              </w:rPr>
              <w:t>上周五沪铝走势疲软，沪铝主力月2208合约收至18900元/吨，跌310元，跌幅1.61%。现货方面，长江现货成交价格19210-19250元/吨，跌140元，贴水35-升水5；广东现货19160-19220元/吨，跌130元，贴水85-贴水55；华通报19260-19300元/吨，跌140元。持货商上下调价，接货方看跌观望少采，交投走弱，成交显得一般。</w:t>
            </w:r>
          </w:p>
          <w:p>
            <w:pPr>
              <w:widowControl/>
              <w:suppressAutoHyphens w:val="0"/>
              <w:ind w:firstLine="630" w:firstLineChars="300"/>
              <w:jc w:val="left"/>
              <w:rPr>
                <w:rFonts w:hint="eastAsia"/>
                <w:color w:val="auto"/>
                <w:lang w:val="en-US" w:eastAsia="zh-CN"/>
              </w:rPr>
            </w:pPr>
            <w:r>
              <w:rPr>
                <w:rFonts w:hint="eastAsia"/>
                <w:color w:val="auto"/>
                <w:lang w:val="en-US" w:eastAsia="zh-CN"/>
              </w:rPr>
              <w:t>SMM数据显示，国内铝下游开工回暖，6月国内铝加工行业PMI指数录得51.5,环比增长5.7，为2022年首次回升至荣枯线以上。</w:t>
            </w:r>
          </w:p>
          <w:p>
            <w:pPr>
              <w:widowControl/>
              <w:suppressAutoHyphens w:val="0"/>
              <w:ind w:firstLine="630" w:firstLineChars="300"/>
              <w:jc w:val="left"/>
              <w:rPr>
                <w:color w:val="auto"/>
              </w:rPr>
            </w:pPr>
            <w:r>
              <w:rPr>
                <w:rFonts w:hint="eastAsia"/>
                <w:color w:val="auto"/>
                <w:lang w:val="en-US" w:eastAsia="zh-CN"/>
              </w:rPr>
              <w:t>俄欧关系持续恶化，欧洲天然气价格飙升，欧洲铝企减产忧虑升温。国内运行产能稳步抬升，部分产能出现亏损，产量继续释放。国内防疫政策逐步宽松，但下游需求仍无明显好转，终端地产持续低迷继续拖累铝价。近日宏观情绪偏空，且临近需求淡季，下行压力仍压制铝价。</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操作上观望或震荡思路对待，关注下游消费兑现情况。</w:t>
            </w:r>
          </w:p>
          <w:p>
            <w:pPr>
              <w:rPr>
                <w:rFonts w:hint="eastAsia"/>
                <w:b/>
                <w:color w:val="auto"/>
                <w:lang w:eastAsia="zh-CN"/>
              </w:rPr>
            </w:pPr>
          </w:p>
          <w:p>
            <w:pPr>
              <w:rPr>
                <w:b/>
                <w:color w:val="auto"/>
                <w:lang w:eastAsia="zh-CN"/>
              </w:rPr>
            </w:pPr>
            <w:r>
              <w:rPr>
                <w:rFonts w:hint="eastAsia"/>
                <w:b/>
                <w:color w:val="auto"/>
                <w:lang w:eastAsia="zh-CN"/>
              </w:rPr>
              <w:t>（有色组）</w:t>
            </w:r>
          </w:p>
        </w:tc>
      </w:tr>
      <w:tr>
        <w:tblPrEx>
          <w:tblCellMar>
            <w:top w:w="0" w:type="dxa"/>
            <w:left w:w="108" w:type="dxa"/>
            <w:bottom w:w="0" w:type="dxa"/>
            <w:right w:w="108" w:type="dxa"/>
          </w:tblCellMar>
        </w:tblPrEx>
        <w:trPr>
          <w:cantSplit/>
          <w:trHeight w:val="6771"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天胶</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color w:val="auto"/>
              </w:rPr>
            </w:pPr>
            <w:r>
              <w:rPr>
                <w:rFonts w:hint="eastAsia"/>
                <w:color w:val="auto"/>
              </w:rPr>
              <w:t>美股上周五收涨，海外主要金融市场情绪暂时趋于稳定，不过整体依旧承压，高通胀、经济增长乏力以及加息依旧困扰着海外市场。国内6月财新制造业PMI较五月显著走高，且步入扩张区间，体现出国内经济持续回稳，有利于提振市场对天胶内需的信心。上周五国内工业品期货指数继续下跌，而短期下方仍面临较强支撑，能否短暂止跌回升值得重点关注。相比整体工业品的弱势而言，RU表现积极，RU与整体市场情绪的关系再度转为逆向，后市需要继续关注两者之间的关系变动。行业方面，上周五泰国原料价格暂时持稳，国内云南产区近几日降水较多，原料产出偏紧，胶水价格小幅上涨。截至6月26日，国内天然橡胶社会库存99.32万吨，较上期缩减2.79万吨，环比跌幅2.73%，保持去库状态，有利于提振胶价。预计6月份天然橡胶进口环比小幅增加，同比基本持稳，而轮胎开工率依旧不甚强劲，轮胎企业库存压力较大。上周五天然橡胶现货价格小幅上涨（全乳胶12900元/吨，+150/+1.18%；20号泰标1695美元/吨，+10/+0.59%，折合人民币11333元/吨；20号泰混12650元/吨，+50/+0.4%）。</w:t>
            </w:r>
          </w:p>
          <w:p>
            <w:pPr>
              <w:widowControl/>
              <w:suppressAutoHyphens w:val="0"/>
              <w:ind w:firstLine="630" w:firstLineChars="300"/>
              <w:jc w:val="left"/>
              <w:rPr>
                <w:rFonts w:hint="eastAsia"/>
                <w:color w:val="auto"/>
              </w:rPr>
            </w:pPr>
            <w:r>
              <w:rPr>
                <w:rFonts w:hint="eastAsia"/>
                <w:color w:val="auto"/>
              </w:rPr>
              <w:t>技术面：上周五RU2209明显反弹，夜盘收盘站上13000关口，六月下旬以来形成震荡反弹的局面，不过上方13200-13300等位置仍有较大压力，反弹过程料难流畅，下方关键支撑在12900-12950。</w:t>
            </w:r>
          </w:p>
          <w:p>
            <w:pPr>
              <w:widowControl/>
              <w:suppressAutoHyphens w:val="0"/>
              <w:ind w:firstLine="630" w:firstLineChars="300"/>
              <w:jc w:val="left"/>
              <w:rPr>
                <w:rFonts w:hint="eastAsia" w:eastAsia="宋体"/>
                <w:color w:val="auto"/>
                <w:lang w:eastAsia="zh-CN"/>
              </w:rPr>
            </w:pP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b/>
                <w:color w:val="auto"/>
                <w:lang w:eastAsia="zh-CN"/>
              </w:rPr>
            </w:pPr>
            <w:r>
              <w:rPr>
                <w:rFonts w:hint="eastAsia"/>
                <w:b/>
                <w:color w:val="auto"/>
                <w:lang w:eastAsia="zh-CN"/>
              </w:rPr>
              <w:t>操作建议：震荡反弹操作思路，若回调跌破12900则应调整思路。</w:t>
            </w:r>
          </w:p>
          <w:p>
            <w:pPr>
              <w:rPr>
                <w:rFonts w:hint="eastAsia"/>
                <w:b/>
                <w:color w:val="auto"/>
                <w:lang w:eastAsia="zh-CN"/>
              </w:rPr>
            </w:pPr>
          </w:p>
          <w:p>
            <w:pPr>
              <w:rPr>
                <w:b/>
                <w:color w:val="auto"/>
                <w:lang w:eastAsia="zh-CN"/>
              </w:rPr>
            </w:pPr>
            <w:r>
              <w:rPr>
                <w:rFonts w:hint="eastAsia"/>
                <w:b/>
                <w:color w:val="auto"/>
                <w:lang w:eastAsia="zh-CN"/>
              </w:rPr>
              <w:t>（王海峰）</w:t>
            </w:r>
          </w:p>
        </w:tc>
      </w:tr>
      <w:tr>
        <w:tblPrEx>
          <w:tblCellMar>
            <w:top w:w="0" w:type="dxa"/>
            <w:left w:w="108" w:type="dxa"/>
            <w:bottom w:w="0" w:type="dxa"/>
            <w:right w:w="108" w:type="dxa"/>
          </w:tblCellMar>
        </w:tblPrEx>
        <w:trPr>
          <w:cantSplit/>
          <w:trHeight w:val="1287"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原油</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color w:val="auto"/>
              </w:rPr>
            </w:pPr>
            <w:r>
              <w:rPr>
                <w:rFonts w:hint="eastAsia"/>
                <w:color w:val="auto"/>
              </w:rPr>
              <w:t>能源咨询机构伍德麦肯兹：预计第三季度布伦特原油均价在117美元/桶，第四季度面临下行压力，但在2023年前都将呈现高位波动。OPEC+已同意继续将8月份的原油产量配额增加64.8万桶/天。美国总统拜登准备于7月15日至16日访问沙特，与海湾领导人举行峰会。美国西海岸的港口和码头工人表示，他们将错过7月1日签署劳工协议的最后期限，使化工公司面临更多供应链问题的风险。美国监管机构希望自由港LNG采取纠正措施并寻求批准，然后再恢复德州出口设施的正常运营，该设施自6月8日爆炸和火灾以来一直关闭。6月29日，财政部、发改委发布《关于做好国际油价触及调控上限后实施阶段性价格补贴有关工作的通知》明确，当国际油价高于130美元每桶时，国内成品油价格阶段性不再上调，同时还将对炼油企业实行阶段性价格补贴。政策持续时间暂按两个月掌握。中国商务部已于2022年第二批向35家符合条件的独立和非国有炼油厂批准了5256万吨（3.8526亿桶）原油进口配额。比2021年同批3522万吨增长了49.2%。高盛首席大宗商品策略师杰夫·柯里表示，今年夏天布伦特原油期货价格最高将涨至每桶140美元。他认为，当前油气领域投资不足将继续推动油价攀升。此前在6月7日，高盛曾发布报告预测布伦特原油价格将触及每桶140美元。但自那之后，国际油价就连续两周下挫。沙特的炼油能力在2021年增长了13.7%，是同行中增幅最大的国家之一，主要是在红海的西海岸增加了40万桶/日的吉赞炼油厂。</w:t>
            </w:r>
          </w:p>
          <w:p>
            <w:pPr>
              <w:widowControl/>
              <w:suppressAutoHyphens w:val="0"/>
              <w:ind w:firstLine="630" w:firstLineChars="300"/>
              <w:jc w:val="left"/>
              <w:rPr>
                <w:rFonts w:hint="eastAsia" w:ascii="Times New Roman" w:hAnsi="Times New Roman" w:eastAsia="宋体" w:cs="Times New Roman"/>
                <w:color w:val="auto"/>
                <w:kern w:val="2"/>
                <w:sz w:val="21"/>
                <w:lang w:val="en-US" w:eastAsia="zh-CN" w:bidi="ar-SA"/>
              </w:rPr>
            </w:pPr>
            <w:r>
              <w:rPr>
                <w:rFonts w:hint="eastAsia"/>
                <w:color w:val="auto"/>
              </w:rPr>
              <w:t>操作建议: 利比亚供应下滑明显，且市场担忧OPEC+增产能力不及预期，国际油价反弹。NYMEX原油期货08合约108.43涨2.67美元/桶或2.52%；ICE布油期货换月09合约111.63涨2.60美元/桶或2.38%。</w:t>
            </w: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b/>
                <w:color w:val="auto"/>
                <w:lang w:eastAsia="zh-CN"/>
              </w:rPr>
            </w:pPr>
            <w:r>
              <w:rPr>
                <w:rFonts w:hint="eastAsia"/>
                <w:b/>
                <w:color w:val="auto"/>
                <w:lang w:eastAsia="zh-CN"/>
              </w:rPr>
              <w:t>操作思路以短期高位震荡偏空为主，关注布伦特原油震荡区间105-115美元/桶，注意止盈止损。</w:t>
            </w:r>
          </w:p>
          <w:p>
            <w:pPr>
              <w:rPr>
                <w:rFonts w:hint="eastAsia"/>
                <w:b/>
                <w:color w:val="auto"/>
                <w:lang w:eastAsia="zh-CN"/>
              </w:rPr>
            </w:pPr>
          </w:p>
          <w:p>
            <w:pPr>
              <w:rPr>
                <w:rFonts w:hint="eastAsia" w:ascii="Times New Roman" w:hAnsi="Times New Roman" w:eastAsia="宋体" w:cs="Times New Roman"/>
                <w:b/>
                <w:color w:val="auto"/>
                <w:kern w:val="2"/>
                <w:sz w:val="21"/>
                <w:lang w:val="en-US" w:eastAsia="zh-CN" w:bidi="ar-SA"/>
              </w:rPr>
            </w:pPr>
            <w:r>
              <w:rPr>
                <w:rFonts w:hint="eastAsia"/>
                <w:b/>
                <w:color w:val="auto"/>
                <w:lang w:eastAsia="zh-CN"/>
              </w:rPr>
              <w:t>（</w:t>
            </w:r>
            <w:r>
              <w:rPr>
                <w:rFonts w:hint="eastAsia"/>
                <w:b/>
                <w:color w:val="auto"/>
                <w:lang w:val="en-US" w:eastAsia="zh-CN"/>
              </w:rPr>
              <w:t>黄世俊</w:t>
            </w:r>
            <w:r>
              <w:rPr>
                <w:rFonts w:hint="eastAsia"/>
                <w:b/>
                <w:color w:val="auto"/>
                <w:lang w:eastAsia="zh-CN"/>
              </w:rPr>
              <w:t>）</w:t>
            </w:r>
          </w:p>
        </w:tc>
      </w:tr>
    </w:tbl>
    <w:p>
      <w:pPr>
        <w:widowControl/>
        <w:jc w:val="left"/>
        <w:rPr>
          <w:rFonts w:ascii="黑体" w:eastAsia="黑体" w:cs="宋体"/>
          <w:color w:val="auto"/>
          <w:szCs w:val="21"/>
        </w:rPr>
      </w:pPr>
      <w:r>
        <w:rPr>
          <w:rFonts w:hint="eastAsia" w:ascii="黑体" w:eastAsia="黑体" w:cs="宋体"/>
          <w:color w:val="auto"/>
          <w:szCs w:val="21"/>
        </w:rPr>
        <w:t>本报告中的信息均来源于公开资料，我公司对这些信息的准确性和完整性不作任何保证，报告中的内容和意见仅供参考。我公司及员工对使用本报刊及其内容所引发的任何直接或间接损失概不负责。本报刊版权归道通期货所有。</w:t>
      </w:r>
    </w:p>
    <w:p>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lang w:eastAsia="zh-CN"/>
      </w:rPr>
      <mc:AlternateContent>
        <mc:Choice Requires="wps">
          <w:drawing>
            <wp:anchor distT="0" distB="0" distL="0" distR="0" simplePos="0" relativeHeight="251659264" behindDoc="0" locked="0" layoutInCell="1" allowOverlap="1">
              <wp:simplePos x="0" y="0"/>
              <wp:positionH relativeFrom="page">
                <wp:posOffset>6361430</wp:posOffset>
              </wp:positionH>
              <wp:positionV relativeFrom="paragraph">
                <wp:posOffset>635</wp:posOffset>
              </wp:positionV>
              <wp:extent cx="246380" cy="124460"/>
              <wp:effectExtent l="8255" t="635" r="2540" b="8255"/>
              <wp:wrapSquare wrapText="largest"/>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6380" cy="124460"/>
                      </a:xfrm>
                      <a:prstGeom prst="rect">
                        <a:avLst/>
                      </a:prstGeom>
                      <a:solidFill>
                        <a:srgbClr val="FFFFFF">
                          <a:alpha val="0"/>
                        </a:srgbClr>
                      </a:solidFill>
                      <a:ln>
                        <a:noFill/>
                      </a:ln>
                      <a:effectLst/>
                    </wps:spPr>
                    <wps:txbx>
                      <w:txbxContent>
                        <w:p>
                          <w:pPr>
                            <w:pStyle w:val="2"/>
                          </w:pPr>
                          <w:r>
                            <w:fldChar w:fldCharType="begin"/>
                          </w:r>
                          <w: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0.9pt;margin-top:0.05pt;height:9.8pt;width:19.4pt;mso-position-horizontal-relative:page;mso-wrap-distance-bottom:0pt;mso-wrap-distance-left:0pt;mso-wrap-distance-right:0pt;mso-wrap-distance-top:0pt;z-index:251659264;mso-width-relative:page;mso-height-relative:page;" fillcolor="#FFFFFF" filled="t" stroked="f" coordsize="21600,21600" o:gfxdata="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cXJT1AAAAAkBAAAPAAAAAAAAAAEAIAAAACIAAABkcnMvZG93bnJldi54bWxQSwEC&#10;FAAUAAAACACHTuJAExrNKjECAABYBAAADgAAAAAAAAABACAAAAAjAQAAZHJzL2Uyb0RvYy54bWxQ&#10;SwUGAAAAAAYABgBZAQAAxgUAAAAA&#10;">
              <v:fill on="t" opacity="0f" focussize="0,0"/>
              <v:stroke on="f"/>
              <v:imagedata o:title=""/>
              <o:lock v:ext="edit" aspectratio="f"/>
              <v:textbox inset="0mm,0mm,0mm,0mm">
                <w:txbxContent>
                  <w:p>
                    <w:pPr>
                      <w:pStyle w:val="2"/>
                    </w:pPr>
                    <w:r>
                      <w:fldChar w:fldCharType="begin"/>
                    </w:r>
                    <w:r>
                      <w:instrText xml:space="preserve"> PAGE </w:instrText>
                    </w:r>
                    <w:r>
                      <w:fldChar w:fldCharType="separate"/>
                    </w:r>
                    <w:r>
                      <w:t>6</w:t>
                    </w:r>
                    <w:r>
                      <w:fldChar w:fldCharType="end"/>
                    </w:r>
                  </w:p>
                </w:txbxContent>
              </v:textbox>
              <w10:wrap type="square" side="largest"/>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rPr>
      <w:drawing>
        <wp:inline distT="0" distB="0" distL="0" distR="0">
          <wp:extent cx="4343400" cy="647700"/>
          <wp:effectExtent l="0" t="0" r="0" b="0"/>
          <wp:docPr id="3" name="图片 3" descr="0141341712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14134171215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43400" cy="647700"/>
                  </a:xfrm>
                  <a:prstGeom prst="rect">
                    <a:avLst/>
                  </a:prstGeom>
                  <a:solidFill>
                    <a:srgbClr val="FFFFFF"/>
                  </a:solidFill>
                  <a:ln>
                    <a:noFill/>
                  </a:ln>
                  <a:effectLst/>
                </pic:spPr>
              </pic:pic>
            </a:graphicData>
          </a:graphic>
        </wp:inline>
      </w:drawing>
    </w:r>
    <w:r>
      <w:rPr>
        <w:rFonts w:hint="eastAsia"/>
        <w:b/>
        <w:sz w:val="24"/>
      </w:rPr>
      <w:t>研究所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E2C"/>
    <w:rsid w:val="000E5154"/>
    <w:rsid w:val="000F371A"/>
    <w:rsid w:val="0012356C"/>
    <w:rsid w:val="001C1FC2"/>
    <w:rsid w:val="001D4A9A"/>
    <w:rsid w:val="00212FE7"/>
    <w:rsid w:val="00293230"/>
    <w:rsid w:val="002C2C71"/>
    <w:rsid w:val="003B7B20"/>
    <w:rsid w:val="00423CD1"/>
    <w:rsid w:val="004C6700"/>
    <w:rsid w:val="004D5BD2"/>
    <w:rsid w:val="004D5EAC"/>
    <w:rsid w:val="004E76CE"/>
    <w:rsid w:val="004F7FFA"/>
    <w:rsid w:val="00525381"/>
    <w:rsid w:val="00533C3E"/>
    <w:rsid w:val="005579C3"/>
    <w:rsid w:val="00577396"/>
    <w:rsid w:val="00592B06"/>
    <w:rsid w:val="00635AE0"/>
    <w:rsid w:val="00642BBB"/>
    <w:rsid w:val="007E13BC"/>
    <w:rsid w:val="00944398"/>
    <w:rsid w:val="00956E05"/>
    <w:rsid w:val="00977AD7"/>
    <w:rsid w:val="009D7439"/>
    <w:rsid w:val="00A2026A"/>
    <w:rsid w:val="00A968EA"/>
    <w:rsid w:val="00AC565B"/>
    <w:rsid w:val="00AF5C20"/>
    <w:rsid w:val="00B5427D"/>
    <w:rsid w:val="00B57BA2"/>
    <w:rsid w:val="00BD402B"/>
    <w:rsid w:val="00C307B2"/>
    <w:rsid w:val="00C37202"/>
    <w:rsid w:val="00C56BD5"/>
    <w:rsid w:val="00CF0B5A"/>
    <w:rsid w:val="00D215DB"/>
    <w:rsid w:val="00D406FC"/>
    <w:rsid w:val="00D711A4"/>
    <w:rsid w:val="00D835F1"/>
    <w:rsid w:val="00DA0DD2"/>
    <w:rsid w:val="00F51399"/>
    <w:rsid w:val="01006B66"/>
    <w:rsid w:val="01A17F68"/>
    <w:rsid w:val="042D0F35"/>
    <w:rsid w:val="057C20A4"/>
    <w:rsid w:val="08D77793"/>
    <w:rsid w:val="093706B3"/>
    <w:rsid w:val="09656767"/>
    <w:rsid w:val="099174FC"/>
    <w:rsid w:val="09E27D0D"/>
    <w:rsid w:val="0A57325E"/>
    <w:rsid w:val="0A624104"/>
    <w:rsid w:val="0B544A92"/>
    <w:rsid w:val="0C12090D"/>
    <w:rsid w:val="0D7A2D36"/>
    <w:rsid w:val="12294B95"/>
    <w:rsid w:val="124F21B0"/>
    <w:rsid w:val="13B23C90"/>
    <w:rsid w:val="14E22F0B"/>
    <w:rsid w:val="16714D70"/>
    <w:rsid w:val="18890622"/>
    <w:rsid w:val="18B11A3E"/>
    <w:rsid w:val="18B21305"/>
    <w:rsid w:val="195C02AF"/>
    <w:rsid w:val="1A8E2066"/>
    <w:rsid w:val="1C955016"/>
    <w:rsid w:val="1CAE3AF0"/>
    <w:rsid w:val="1E9D2B4C"/>
    <w:rsid w:val="1EC70303"/>
    <w:rsid w:val="1F7E29BD"/>
    <w:rsid w:val="1F8072E8"/>
    <w:rsid w:val="20970D76"/>
    <w:rsid w:val="226C1608"/>
    <w:rsid w:val="227E57F8"/>
    <w:rsid w:val="227F224C"/>
    <w:rsid w:val="23C604D1"/>
    <w:rsid w:val="23F270CF"/>
    <w:rsid w:val="245A2629"/>
    <w:rsid w:val="2A7A4984"/>
    <w:rsid w:val="2B252FF2"/>
    <w:rsid w:val="2D8D3BC9"/>
    <w:rsid w:val="2FCC19BF"/>
    <w:rsid w:val="31EC1213"/>
    <w:rsid w:val="321D62B5"/>
    <w:rsid w:val="341F7FC4"/>
    <w:rsid w:val="353D5E3C"/>
    <w:rsid w:val="358935BB"/>
    <w:rsid w:val="36AB3BBE"/>
    <w:rsid w:val="375761BA"/>
    <w:rsid w:val="384D33C8"/>
    <w:rsid w:val="39983F44"/>
    <w:rsid w:val="3CF13880"/>
    <w:rsid w:val="406C6812"/>
    <w:rsid w:val="40A56BD2"/>
    <w:rsid w:val="41A00C7B"/>
    <w:rsid w:val="424E1F35"/>
    <w:rsid w:val="426E1857"/>
    <w:rsid w:val="430419B8"/>
    <w:rsid w:val="43811021"/>
    <w:rsid w:val="442D0F38"/>
    <w:rsid w:val="465F7101"/>
    <w:rsid w:val="49131CBA"/>
    <w:rsid w:val="491A1D27"/>
    <w:rsid w:val="4A29450B"/>
    <w:rsid w:val="4A2A5B0A"/>
    <w:rsid w:val="4B25247A"/>
    <w:rsid w:val="4CDB5F58"/>
    <w:rsid w:val="4D9E7DC0"/>
    <w:rsid w:val="4DA0349C"/>
    <w:rsid w:val="4FCE0CA2"/>
    <w:rsid w:val="4FFF16B7"/>
    <w:rsid w:val="501C1047"/>
    <w:rsid w:val="509328D4"/>
    <w:rsid w:val="5132643B"/>
    <w:rsid w:val="518F71CD"/>
    <w:rsid w:val="526922B9"/>
    <w:rsid w:val="53B809A0"/>
    <w:rsid w:val="5610706B"/>
    <w:rsid w:val="578723B2"/>
    <w:rsid w:val="57D67B07"/>
    <w:rsid w:val="58CF0924"/>
    <w:rsid w:val="5B116A65"/>
    <w:rsid w:val="5B922A05"/>
    <w:rsid w:val="5CDE1F17"/>
    <w:rsid w:val="5FAE7A14"/>
    <w:rsid w:val="60593F12"/>
    <w:rsid w:val="648125BD"/>
    <w:rsid w:val="66714647"/>
    <w:rsid w:val="66CC74E1"/>
    <w:rsid w:val="73C8743F"/>
    <w:rsid w:val="76583639"/>
    <w:rsid w:val="7A3D7229"/>
    <w:rsid w:val="7A857A1E"/>
    <w:rsid w:val="7A8C2DBA"/>
    <w:rsid w:val="7B9137A7"/>
    <w:rsid w:val="7C086E1A"/>
    <w:rsid w:val="7DFC7528"/>
    <w:rsid w:val="7E712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2"/>
      <w:sz w:val="21"/>
      <w:lang w:val="en-US" w:eastAsia="ar-SA"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000000" w:sz="4" w:space="1"/>
      </w:pBdr>
      <w:tabs>
        <w:tab w:val="center" w:pos="4153"/>
        <w:tab w:val="right" w:pos="8306"/>
      </w:tabs>
      <w:snapToGrid w:val="0"/>
      <w:jc w:val="center"/>
    </w:pPr>
    <w:rPr>
      <w:sz w:val="18"/>
    </w:rPr>
  </w:style>
  <w:style w:type="character" w:customStyle="1" w:styleId="6">
    <w:name w:val="页脚 字符"/>
    <w:basedOn w:val="5"/>
    <w:link w:val="2"/>
    <w:qFormat/>
    <w:uiPriority w:val="0"/>
    <w:rPr>
      <w:rFonts w:ascii="Times New Roman" w:hAnsi="Times New Roman" w:eastAsia="宋体" w:cs="Times New Roman"/>
      <w:sz w:val="18"/>
      <w:szCs w:val="20"/>
      <w:lang w:eastAsia="ar-SA"/>
    </w:rPr>
  </w:style>
  <w:style w:type="character" w:customStyle="1" w:styleId="7">
    <w:name w:val="页眉 字符"/>
    <w:basedOn w:val="5"/>
    <w:link w:val="3"/>
    <w:qFormat/>
    <w:uiPriority w:val="0"/>
    <w:rPr>
      <w:rFonts w:ascii="Times New Roman" w:hAnsi="Times New Roman" w:eastAsia="宋体" w:cs="Times New Roman"/>
      <w:sz w:val="18"/>
      <w:szCs w:val="20"/>
      <w:lang w:eastAsia="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845</Words>
  <Characters>4817</Characters>
  <Lines>40</Lines>
  <Paragraphs>11</Paragraphs>
  <TotalTime>1</TotalTime>
  <ScaleCrop>false</ScaleCrop>
  <LinksUpToDate>false</LinksUpToDate>
  <CharactersWithSpaces>5651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2021-04-23T15:55:00Z</dcterms:created>
  <dc:creator>admin</dc:creator>
  <cp:lastModifiedBy>admin</cp:lastModifiedBy>
  <dcterms:modified xsi:type="dcterms:W3CDTF">2022-07-04T00:45:24Z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241ED9DFB688474D48B653619F6A5D07</vt:lpwstr>
  </property>
</Properties>
</file>