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7月1</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bookmarkStart w:id="0" w:name="_GoBack"/>
      <w:bookmarkEnd w:id="0"/>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rPr>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美国商务部数据显示，美国5月PCE物价指数同比增长6.3%，好于市场预期的6.4%，前值为6.3%，是自2020年11月以来的最小增幅。5月PCE物价指数环比增长0.6%，好于市场预期的0.70%，前值0.20%。但仍接近40年的高位。美国5月个人支出月率录得0.2%，为去年12月以来新低,美国6月芝加哥PMI录得56，为2020年8月以来新低,美国 截至6月25日当周 初请失业金人数23.10万,预期值22.80万,前值22.90万</w:t>
      </w:r>
    </w:p>
    <w:p>
      <w:pPr>
        <w:jc w:val="left"/>
        <w:rPr>
          <w:rFonts w:hint="eastAsia"/>
          <w:color w:val="auto"/>
        </w:rPr>
      </w:pPr>
      <w:r>
        <w:rPr>
          <w:rFonts w:hint="eastAsia"/>
          <w:color w:val="auto"/>
        </w:rPr>
        <w:t>2  美国自动数据处理公司ADP与斯坦福数字经济实验室宣布，将对小非农ADP就业数据报告的编制方法进行更新，新版报告计划于8月31日发布。7月的小非农ADP就业数据报告将暂停发布，新版报告计划于8月31日发布。</w:t>
      </w:r>
    </w:p>
    <w:p>
      <w:pPr>
        <w:jc w:val="left"/>
        <w:rPr>
          <w:rFonts w:hint="eastAsia"/>
          <w:color w:val="auto"/>
        </w:rPr>
      </w:pPr>
      <w:r>
        <w:rPr>
          <w:rFonts w:hint="eastAsia"/>
          <w:color w:val="auto"/>
        </w:rPr>
        <w:t>3  OPEC+发布声明表示，该组织8月份批准了每日增产64.8万桶的计划，恢复了两年多前关闭的每日970万桶中的最后一部分。</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6月份，制造业采购经理指数、非制造业商务活动指数和综合PMI产出指数分别为50.2%、54.7%和54.1%，高于上月0.6、6.9和5.7个百分点，均升至扩张区间。供需明显恢复但延续“供强需弱”</w:t>
      </w:r>
    </w:p>
    <w:p>
      <w:pPr>
        <w:jc w:val="left"/>
        <w:rPr>
          <w:rFonts w:hint="eastAsia"/>
          <w:color w:val="auto"/>
        </w:rPr>
      </w:pPr>
      <w:r>
        <w:rPr>
          <w:rFonts w:hint="eastAsia"/>
          <w:color w:val="auto"/>
        </w:rPr>
        <w:t>2  国常会：通过发行金融债券等筹资3000亿，用于补充重大项目资本金等</w:t>
      </w:r>
    </w:p>
    <w:p>
      <w:pPr>
        <w:jc w:val="left"/>
        <w:rPr>
          <w:rFonts w:hint="eastAsia"/>
          <w:color w:val="auto"/>
        </w:rPr>
      </w:pPr>
      <w:r>
        <w:rPr>
          <w:rFonts w:hint="eastAsia"/>
          <w:color w:val="auto"/>
        </w:rPr>
        <w:t>3  中国证券投资基金业协会最新数据显示，加上今年6月份新成立的135只新基金，正处于发行期的90只基金，排除6月份清盘的20只基金，目前已经面市的公募基金总数量已经多达10077只，超过了1万只大关</w:t>
      </w:r>
    </w:p>
    <w:p>
      <w:pPr>
        <w:jc w:val="left"/>
        <w:rPr>
          <w:rFonts w:hint="eastAsia"/>
          <w:color w:val="auto"/>
        </w:rPr>
      </w:pPr>
      <w:r>
        <w:rPr>
          <w:rFonts w:hint="eastAsia"/>
          <w:color w:val="auto"/>
        </w:rPr>
        <w:t>4  上交所发布《关于进一步发挥资产证券化市场功能支持企业盘活存量资产的通知》表示，大力支持符合条件的重点领域、重点区域、重点企业开展资产证券化业务</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07:30</w:t>
      </w:r>
      <w:r>
        <w:rPr>
          <w:rFonts w:hint="eastAsia"/>
          <w:color w:val="auto"/>
        </w:rPr>
        <w:tab/>
      </w:r>
      <w:r>
        <w:rPr>
          <w:rFonts w:hint="eastAsia"/>
          <w:color w:val="auto"/>
        </w:rPr>
        <w:t>日本6月东京CPI年率(%)</w:t>
      </w:r>
      <w:r>
        <w:rPr>
          <w:rFonts w:hint="eastAsia"/>
          <w:color w:val="auto"/>
        </w:rPr>
        <w:tab/>
      </w:r>
      <w:r>
        <w:rPr>
          <w:rFonts w:hint="eastAsia"/>
          <w:color w:val="auto"/>
        </w:rPr>
        <w:t>2.4</w:t>
      </w:r>
    </w:p>
    <w:p>
      <w:pPr>
        <w:jc w:val="left"/>
        <w:rPr>
          <w:rFonts w:hint="eastAsia"/>
          <w:color w:val="auto"/>
        </w:rPr>
      </w:pPr>
      <w:r>
        <w:rPr>
          <w:rFonts w:hint="eastAsia"/>
          <w:color w:val="auto"/>
        </w:rPr>
        <w:t>日本5月失业率(%)</w:t>
      </w:r>
      <w:r>
        <w:rPr>
          <w:rFonts w:hint="eastAsia"/>
          <w:color w:val="auto"/>
        </w:rPr>
        <w:tab/>
      </w:r>
      <w:r>
        <w:rPr>
          <w:rFonts w:hint="eastAsia"/>
          <w:color w:val="auto"/>
        </w:rPr>
        <w:t>2.5</w:t>
      </w:r>
      <w:r>
        <w:rPr>
          <w:rFonts w:hint="eastAsia"/>
          <w:color w:val="auto"/>
        </w:rPr>
        <w:tab/>
      </w:r>
      <w:r>
        <w:rPr>
          <w:rFonts w:hint="eastAsia"/>
          <w:color w:val="auto"/>
        </w:rPr>
        <w:t>2.5</w:t>
      </w:r>
      <w:r>
        <w:rPr>
          <w:rFonts w:hint="eastAsia"/>
          <w:color w:val="auto"/>
        </w:rPr>
        <w:tab/>
      </w:r>
    </w:p>
    <w:p>
      <w:pPr>
        <w:jc w:val="left"/>
        <w:rPr>
          <w:rFonts w:hint="eastAsia"/>
          <w:color w:val="auto"/>
        </w:rPr>
      </w:pPr>
      <w:r>
        <w:rPr>
          <w:rFonts w:hint="eastAsia"/>
          <w:color w:val="auto"/>
        </w:rPr>
        <w:t>09:45</w:t>
      </w:r>
      <w:r>
        <w:rPr>
          <w:rFonts w:hint="eastAsia"/>
          <w:color w:val="auto"/>
        </w:rPr>
        <w:tab/>
      </w:r>
      <w:r>
        <w:rPr>
          <w:rFonts w:hint="eastAsia"/>
          <w:color w:val="auto"/>
        </w:rPr>
        <w:t>中国6月财新制造业PMI</w:t>
      </w:r>
      <w:r>
        <w:rPr>
          <w:rFonts w:hint="eastAsia"/>
          <w:color w:val="auto"/>
        </w:rPr>
        <w:tab/>
      </w:r>
      <w:r>
        <w:rPr>
          <w:rFonts w:hint="eastAsia"/>
          <w:color w:val="auto"/>
        </w:rPr>
        <w:t>48.1</w:t>
      </w:r>
      <w:r>
        <w:rPr>
          <w:rFonts w:hint="eastAsia"/>
          <w:color w:val="auto"/>
        </w:rPr>
        <w:tab/>
      </w:r>
      <w:r>
        <w:rPr>
          <w:rFonts w:hint="eastAsia"/>
          <w:color w:val="auto"/>
        </w:rPr>
        <w:t>50.1</w:t>
      </w:r>
    </w:p>
    <w:p>
      <w:pPr>
        <w:jc w:val="left"/>
        <w:rPr>
          <w:rFonts w:hint="eastAsia"/>
          <w:color w:val="auto"/>
        </w:rPr>
      </w:pPr>
      <w:r>
        <w:rPr>
          <w:rFonts w:hint="eastAsia"/>
          <w:color w:val="auto"/>
        </w:rPr>
        <w:t>16:00</w:t>
      </w:r>
      <w:r>
        <w:rPr>
          <w:rFonts w:hint="eastAsia"/>
          <w:color w:val="auto"/>
        </w:rPr>
        <w:tab/>
      </w:r>
      <w:r>
        <w:rPr>
          <w:rFonts w:hint="eastAsia"/>
          <w:color w:val="auto"/>
        </w:rPr>
        <w:t>欧元区6月Markit制造业PMI终值</w:t>
      </w:r>
      <w:r>
        <w:rPr>
          <w:rFonts w:hint="eastAsia"/>
          <w:color w:val="auto"/>
        </w:rPr>
        <w:tab/>
      </w:r>
      <w:r>
        <w:rPr>
          <w:rFonts w:hint="eastAsia"/>
          <w:color w:val="auto"/>
        </w:rPr>
        <w:t>52</w:t>
      </w:r>
      <w:r>
        <w:rPr>
          <w:rFonts w:hint="eastAsia"/>
          <w:color w:val="auto"/>
        </w:rPr>
        <w:tab/>
      </w:r>
      <w:r>
        <w:rPr>
          <w:rFonts w:hint="eastAsia"/>
          <w:color w:val="auto"/>
        </w:rPr>
        <w:t>52</w:t>
      </w:r>
    </w:p>
    <w:p>
      <w:pPr>
        <w:jc w:val="left"/>
        <w:rPr>
          <w:rFonts w:hint="eastAsia"/>
          <w:color w:val="auto"/>
        </w:rPr>
      </w:pPr>
      <w:r>
        <w:rPr>
          <w:rFonts w:hint="eastAsia"/>
          <w:color w:val="auto"/>
        </w:rPr>
        <w:t>17:00</w:t>
      </w:r>
      <w:r>
        <w:rPr>
          <w:rFonts w:hint="eastAsia"/>
          <w:color w:val="auto"/>
        </w:rPr>
        <w:tab/>
      </w:r>
      <w:r>
        <w:rPr>
          <w:rFonts w:hint="eastAsia"/>
          <w:color w:val="auto"/>
        </w:rPr>
        <w:t>欧元区6月核心调和CPI年率-未季调初值(%)</w:t>
      </w:r>
      <w:r>
        <w:rPr>
          <w:rFonts w:hint="eastAsia"/>
          <w:color w:val="auto"/>
        </w:rPr>
        <w:tab/>
      </w:r>
      <w:r>
        <w:rPr>
          <w:rFonts w:hint="eastAsia"/>
          <w:color w:val="auto"/>
        </w:rPr>
        <w:t>4.4</w:t>
      </w:r>
      <w:r>
        <w:rPr>
          <w:rFonts w:hint="eastAsia"/>
          <w:color w:val="auto"/>
        </w:rPr>
        <w:tab/>
      </w:r>
      <w:r>
        <w:rPr>
          <w:rFonts w:hint="eastAsia"/>
          <w:color w:val="auto"/>
        </w:rPr>
        <w:t>4.5</w:t>
      </w:r>
    </w:p>
    <w:p>
      <w:pPr>
        <w:jc w:val="left"/>
        <w:rPr>
          <w:rFonts w:hint="eastAsia"/>
          <w:color w:val="auto"/>
        </w:rPr>
      </w:pPr>
      <w:r>
        <w:rPr>
          <w:rFonts w:hint="eastAsia"/>
          <w:color w:val="auto"/>
        </w:rPr>
        <w:t>17:00</w:t>
      </w:r>
      <w:r>
        <w:rPr>
          <w:rFonts w:hint="eastAsia"/>
          <w:color w:val="auto"/>
        </w:rPr>
        <w:tab/>
      </w:r>
      <w:r>
        <w:rPr>
          <w:rFonts w:hint="eastAsia"/>
          <w:color w:val="auto"/>
        </w:rPr>
        <w:t>欧元区6月调和CPI年率-未季调初值(%)</w:t>
      </w:r>
      <w:r>
        <w:rPr>
          <w:rFonts w:hint="eastAsia"/>
          <w:color w:val="auto"/>
        </w:rPr>
        <w:tab/>
      </w:r>
      <w:r>
        <w:rPr>
          <w:rFonts w:hint="eastAsia"/>
          <w:color w:val="auto"/>
        </w:rPr>
        <w:t>8.1</w:t>
      </w:r>
      <w:r>
        <w:rPr>
          <w:rFonts w:hint="eastAsia"/>
          <w:color w:val="auto"/>
        </w:rPr>
        <w:tab/>
      </w:r>
      <w:r>
        <w:rPr>
          <w:rFonts w:hint="eastAsia"/>
          <w:color w:val="auto"/>
        </w:rPr>
        <w:t>8.4</w:t>
      </w:r>
    </w:p>
    <w:p>
      <w:pPr>
        <w:jc w:val="left"/>
        <w:rPr>
          <w:rFonts w:hint="eastAsia"/>
          <w:color w:val="auto"/>
        </w:rPr>
      </w:pPr>
      <w:r>
        <w:rPr>
          <w:rFonts w:hint="eastAsia"/>
          <w:color w:val="auto"/>
        </w:rPr>
        <w:t>21:45</w:t>
      </w:r>
      <w:r>
        <w:rPr>
          <w:rFonts w:hint="eastAsia"/>
          <w:color w:val="auto"/>
        </w:rPr>
        <w:tab/>
      </w:r>
      <w:r>
        <w:rPr>
          <w:rFonts w:hint="eastAsia"/>
          <w:color w:val="auto"/>
        </w:rPr>
        <w:t>美国6月Markit制造业PMI终值</w:t>
      </w:r>
      <w:r>
        <w:rPr>
          <w:rFonts w:hint="eastAsia"/>
          <w:color w:val="auto"/>
        </w:rPr>
        <w:tab/>
      </w:r>
      <w:r>
        <w:rPr>
          <w:rFonts w:hint="eastAsia"/>
          <w:color w:val="auto"/>
        </w:rPr>
        <w:t>52.4</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22:00</w:t>
      </w:r>
      <w:r>
        <w:rPr>
          <w:rFonts w:hint="eastAsia"/>
          <w:color w:val="auto"/>
        </w:rPr>
        <w:tab/>
      </w:r>
      <w:r>
        <w:rPr>
          <w:rFonts w:hint="eastAsia"/>
          <w:color w:val="auto"/>
        </w:rPr>
        <w:t>美国6月ISM制造业PMI</w:t>
      </w:r>
      <w:r>
        <w:rPr>
          <w:rFonts w:hint="eastAsia"/>
          <w:color w:val="auto"/>
        </w:rPr>
        <w:tab/>
      </w:r>
      <w:r>
        <w:rPr>
          <w:rFonts w:hint="eastAsia"/>
          <w:color w:val="auto"/>
        </w:rPr>
        <w:t>56.1</w:t>
      </w:r>
      <w:r>
        <w:rPr>
          <w:rFonts w:hint="eastAsia"/>
          <w:color w:val="auto"/>
        </w:rPr>
        <w:tab/>
      </w:r>
      <w:r>
        <w:rPr>
          <w:rFonts w:hint="eastAsia"/>
          <w:color w:val="auto"/>
        </w:rPr>
        <w:t>54.9</w:t>
      </w:r>
      <w:r>
        <w:rPr>
          <w:rFonts w:hint="eastAsia"/>
          <w:color w:val="auto"/>
        </w:rPr>
        <w:tab/>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指数涨跌不一，早盘市场冲高回落后再度上行，截至收盘，沪指涨1.1%，报3398.62点，深成指涨1.57%，报12896.2点，创业板指涨1.52%，报2810.6点。沪深两市合计成交额11598.1亿元，为连续第6个交易日超1万亿元。两市92股涨停（含ST股），17股跌停。回顾整个6月，沪指累计涨6.66%，深成指累计涨11.87%，创业板指累计涨16.86%。今日也是2022年上半年最后一个交易日，最终沪指上半年探底回升跌6.63%，创业板指上半年累计跌15.41%。</w:t>
      </w:r>
    </w:p>
    <w:p>
      <w:pPr>
        <w:jc w:val="left"/>
        <w:rPr>
          <w:rFonts w:hint="eastAsia" w:eastAsia="宋体"/>
          <w:color w:val="auto"/>
          <w:lang w:val="en-US" w:eastAsia="zh-CN"/>
        </w:rPr>
      </w:pPr>
      <w:r>
        <w:rPr>
          <w:rFonts w:hint="eastAsia"/>
          <w:color w:val="auto"/>
        </w:rPr>
        <w:t xml:space="preserve">   央行释放重磅信号，强调要加大稳健货币政策实施力度，发挥好货币政策工具的总量和结构双重功能，再度支撑市场走强,“稳增长”依然是三季度重点，短期，市场延续上行趋势，并创下此轮反弹以来的新高。不过，经历相对高位的连续拉升以及场内风格分化之后，仍需留意市场的反复</w:t>
      </w:r>
      <w:r>
        <w:rPr>
          <w:rFonts w:hint="eastAsia"/>
          <w:color w:val="auto"/>
          <w:lang w:eastAsia="zh-CN"/>
        </w:rPr>
        <w:t>。</w:t>
      </w: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default" w:eastAsia="宋体"/>
                <w:color w:val="auto"/>
                <w:lang w:val="en-US" w:eastAsia="zh-CN"/>
              </w:rPr>
            </w:pPr>
            <w:r>
              <w:rPr>
                <w:rFonts w:hint="eastAsia"/>
                <w:color w:val="auto"/>
              </w:rPr>
              <w:t>隔夜外围美元收低于104.68部位；人民币离岸价略升于6.693。欧美股市收低，结束了偏弱的月度和季度线。通胀推动美联储激进加息可能殃及经济的担忧挥之不去，且最新消费者支出等数据未能缓解担忧。NYMEX8月原油下跌4.02美元，结算价报每桶105.76美元。近月合约今年迄今上涨近41%，当季上涨5.5%，但当月下跌7.8%。尽管全球供应紧张，但OPEC 确认其8月份的增产幅度仅与之前宣布的一样。市场对未来的产量感到疑惑。芝加哥(CBOT)大豆大多收低，但脱离了盘中稍早触及的低位，此前美国农业部报告的美国大豆种植面积低于所有交易商的预估。有分析师称，CBOT玉米期货大幅下跌给大豆期货带来压力。CBOT玉米期货收低，此前美国农业部报告显示，美国玉米种植面积和季度谷物库存高于分析师平均预期。CBOT7月大豆收涨3/4美分，结算价报每蒲式耳16.75美元；11月新作下挫20-1/4美分，结算价报每蒲式耳14.58美元。7月豆粕收涨6.70美元，结算价报每短吨469.90美元，交投最活跃的12月豆粕收跌30美分，结算价报每短吨406.70美元。7月豆油收跌2.67美分，结算价报每磅69.93美分，12月豆油收跌2.52美分，结算价报每磅64.46美分。美国农业部称，美国2022年大豆种植面积预估为8832.5万英亩，市场此前预估为9,044.6万英亩，3月预估为9,095.5万英亩。其中待播种面积为1580.6万英亩。美国农业部周四公布，美国6月1日当季大豆库存为9.7144亿蒲式耳，此前市场预估为9.65亿蒲式耳，去年同期为7.6904亿蒲式耳。数据显示，6月1日当季美国大豆农场内库存为3.314亿蒲式耳，去年同期为2.199亿蒲式耳；农场外库存为6.4004亿蒲式耳，去年同期为5.4914亿蒲式耳。 美国农业部公布的出口销售报告显示，6月23日止当周，美国2021/2022市场年度大豆出口销售净减12.02万吨，创市场年度最低，较之前一周和前四周均值显著减少。市场预估为净减10万吨至净增30万吨。当周美国2022/2023市场年度大豆出口销售净增12.76万吨，市场预估为净增10-50万吨。当周美国大豆出口装船51.77万吨，较之前一周增加5%，较前四周均值增加3%。其中向中国大陆出口装船9.35万吨。当周美国2021/2022年度大豆新销售11.55万吨，2022/2023年度大豆新销售为12.76万吨。</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处于区间波动模式，本季播种面积低于预期，意味市场延续紧平衡，单产形成期天气敏感性增加。但美控通胀政策压力抑制油粕比，支撑粕价。预计大连盘跟随。9月油粕比回撤至2.58；粕9－1逆差在202点。粕9日内续看围绕3900的波动，宜灵活。</w:t>
            </w:r>
          </w:p>
          <w:p>
            <w:pPr>
              <w:widowControl/>
              <w:suppressAutoHyphens w:val="0"/>
              <w:jc w:val="left"/>
              <w:rPr>
                <w:rFonts w:hint="eastAsia"/>
                <w:b/>
                <w:color w:val="auto"/>
                <w:lang w:eastAsia="zh-CN"/>
              </w:rPr>
            </w:pPr>
          </w:p>
          <w:p>
            <w:pPr>
              <w:widowControl/>
              <w:suppressAutoHyphens w:val="0"/>
              <w:jc w:val="left"/>
              <w:rPr>
                <w:b/>
                <w:color w:val="auto"/>
                <w:lang w:eastAsia="zh-CN"/>
              </w:rPr>
            </w:pPr>
            <w:r>
              <w:rPr>
                <w:rFonts w:hint="eastAsia"/>
                <w:b/>
                <w:color w:val="auto"/>
                <w:lang w:eastAsia="zh-CN"/>
              </w:rPr>
              <w:t>（农产品部）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据美国农业部发布的信息显示，美国2021/22年度陆地棉净签约10932吨（含签约19096吨，取消前期签约8165吨），较前一周大幅增加198%，较近四周平均减少71%；装运2021/22年度陆地棉82645吨，较前一周减少2%，较近四周平均减少5%。2022年度美棉种植面积1250比预期的高，同比增加11%。美棉上涨，报98美分。郑棉反弹。6月30日，棉花现货指数CCI3128B报价至18369元/吨（+28），期现价差-714（09合约收盘价-现货价），涤纶短纤报价8470元/吨(+0)，黏胶短纤报价15600元/吨（+0）；CY Index C32S报价27790元/吨（+0），FCY Index C32S(进口棉纱价格指数)报价32028元/吨（+55）；郑棉仓单15274（-61），有效预报861（-32）。美国EMOT M到港价143.75分/磅（+4）；巴西M到港价143.5美分/磅（+4）。综上，情绪化后美棉关注自身低库存，价格反弹修复。国内花纱价差好转，关注订单情况。郑棉震荡反弹为主。</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操作上，中长线空仓观望，短线灵活。</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钢材价格周四走势回落，螺纹2210合约收于4315，热卷2210合约收于4350。现货方面，30日唐山普方坯出厂价报4040（平），上海地区螺纹钢现货价格(HRB400 20mm)4350元（平），热卷现货价格(4.75mm)4400元（平）。</w:t>
            </w:r>
          </w:p>
          <w:p>
            <w:pPr>
              <w:widowControl/>
              <w:suppressAutoHyphens w:val="0"/>
              <w:ind w:firstLine="630" w:firstLineChars="300"/>
              <w:jc w:val="left"/>
              <w:rPr>
                <w:rFonts w:hint="eastAsia"/>
                <w:color w:val="auto"/>
              </w:rPr>
            </w:pPr>
            <w:r>
              <w:rPr>
                <w:rFonts w:hint="eastAsia"/>
                <w:color w:val="auto"/>
              </w:rPr>
              <w:t>国家统计局发布数据，6月我国制造业采购经理指数（PMI）为50.2%，重回临界点以上，制造业恢复性扩张。</w:t>
            </w:r>
          </w:p>
          <w:p>
            <w:pPr>
              <w:widowControl/>
              <w:suppressAutoHyphens w:val="0"/>
              <w:ind w:firstLine="630" w:firstLineChars="300"/>
              <w:jc w:val="left"/>
              <w:rPr>
                <w:rFonts w:hint="eastAsia"/>
                <w:color w:val="auto"/>
              </w:rPr>
            </w:pPr>
            <w:r>
              <w:rPr>
                <w:rFonts w:hint="eastAsia"/>
                <w:color w:val="auto"/>
              </w:rPr>
              <w:t>据财政部披露数据显示，2022年1-5月，全国发行新增债券24445亿元，其中一般债券4106亿元、专项债券20339亿元。</w:t>
            </w:r>
          </w:p>
          <w:p>
            <w:pPr>
              <w:widowControl/>
              <w:suppressAutoHyphens w:val="0"/>
              <w:ind w:firstLine="630" w:firstLineChars="300"/>
              <w:jc w:val="left"/>
              <w:rPr>
                <w:rFonts w:hint="eastAsia"/>
                <w:color w:val="auto"/>
              </w:rPr>
            </w:pPr>
            <w:r>
              <w:rPr>
                <w:rFonts w:hint="eastAsia"/>
                <w:color w:val="auto"/>
              </w:rPr>
              <w:t>据Mysteel数据，本周五大品种钢材产量948.41万吨，周环比减少16.11万吨。其中，螺纹钢产量269.86万吨，周环比减少18.05万吨。本周钢材总库存量2150.45万吨，周环比减少70.73万吨。其中，钢厂库存量642.41万吨，周环比减少33.63万吨；社会库存量1508.04万吨，周环比减少37.1万吨。</w:t>
            </w:r>
          </w:p>
          <w:p>
            <w:pPr>
              <w:widowControl/>
              <w:suppressAutoHyphens w:val="0"/>
              <w:ind w:firstLine="630" w:firstLineChars="300"/>
              <w:jc w:val="left"/>
              <w:rPr>
                <w:rFonts w:hint="eastAsia"/>
                <w:color w:val="auto"/>
              </w:rPr>
            </w:pPr>
            <w:r>
              <w:rPr>
                <w:rFonts w:hint="eastAsia"/>
                <w:color w:val="auto"/>
              </w:rPr>
              <w:t>6月29日Mysteel统计40家独立电弧炉建筑钢材钢厂平均成本为4440元/吨，环比上周上升161元/吨。平均利润亏损106元/吨，谷电利润亏损5元/吨。</w:t>
            </w:r>
          </w:p>
          <w:p>
            <w:pPr>
              <w:widowControl/>
              <w:suppressAutoHyphens w:val="0"/>
              <w:ind w:firstLine="630" w:firstLineChars="300"/>
              <w:jc w:val="left"/>
              <w:rPr>
                <w:rFonts w:hint="eastAsia" w:eastAsia="宋体"/>
                <w:color w:val="auto"/>
                <w:lang w:val="en-US" w:eastAsia="zh-CN"/>
              </w:rPr>
            </w:pPr>
            <w:r>
              <w:rPr>
                <w:rFonts w:hint="eastAsia"/>
                <w:color w:val="auto"/>
              </w:rPr>
              <w:t>本周钢材产量小幅回落，螺纹产量下降较为明显，钢厂产量从螺纹向热卷倾斜。卷螺周度消费量回升，钢材总库存下降。国家6月制造业PMI重回增长区间，结合日前防疫政策的修改，以及专项债6月前基本发放完毕等宏观方面的消息，下半年国家稳增长逐步落地，国内宏观情绪逐渐转好。钢材自身供应端由于当前钢厂利润的低迷，各地长流程检修逐渐增多，短流程电炉开工率持续维持低位，长周期看下半年由于国家粗钢的压产政策，钢厂的产量重心预计也将较上半年有所降低。</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短期内消费淡季格局仍然维持，钢材价格预计震荡走势，保持观望态势。</w:t>
            </w:r>
          </w:p>
          <w:p>
            <w:pPr>
              <w:rPr>
                <w:rFonts w:hint="eastAsia"/>
                <w:b/>
                <w:color w:val="auto"/>
                <w:lang w:eastAsia="zh-CN"/>
              </w:rPr>
            </w:pPr>
          </w:p>
          <w:p>
            <w:pPr>
              <w:rPr>
                <w:b/>
                <w:color w:val="auto"/>
                <w:lang w:eastAsia="zh-CN"/>
              </w:rPr>
            </w:pPr>
            <w:r>
              <w:rPr>
                <w:rFonts w:hint="eastAsia"/>
                <w:b/>
                <w:color w:val="auto"/>
                <w:lang w:eastAsia="zh-CN"/>
              </w:rPr>
              <w:t>(黄</w:t>
            </w:r>
            <w:r>
              <w:rPr>
                <w:rFonts w:hint="eastAsia"/>
                <w:b/>
                <w:color w:val="auto"/>
                <w:lang w:eastAsia="zh-CN"/>
              </w:rPr>
              <w:t>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lang w:val="en-US" w:eastAsia="zh-CN"/>
              </w:rPr>
            </w:pPr>
            <w:r>
              <w:rPr>
                <w:rFonts w:hint="eastAsia"/>
                <w:color w:val="auto"/>
                <w:lang w:val="en-US" w:eastAsia="zh-CN"/>
              </w:rPr>
              <w:t xml:space="preserve">          昨日进口矿价格小幅下跌，青岛港价格下跌6-19，市场交投情绪尚可，成交一般，现PB粉850跌15，超特粉724跌6，PB块989跌15，卡粉1000跌19；天津港下跌4-21，现PB粉871跌4，60.5金布巴785跌17，麦克粉835跌10，超特粉731跌4。</w:t>
            </w:r>
          </w:p>
          <w:p>
            <w:pPr>
              <w:widowControl/>
              <w:suppressAutoHyphens w:val="0"/>
              <w:jc w:val="left"/>
              <w:rPr>
                <w:rFonts w:hint="eastAsia"/>
                <w:color w:val="auto"/>
                <w:lang w:val="en-US" w:eastAsia="zh-CN"/>
              </w:rPr>
            </w:pPr>
            <w:r>
              <w:rPr>
                <w:rFonts w:hint="eastAsia"/>
                <w:color w:val="auto"/>
                <w:lang w:val="en-US" w:eastAsia="zh-CN"/>
              </w:rPr>
              <w:t xml:space="preserve">        6月份，制造业采购经理指数（PMI）为50.2%，比上月上升0.6个百分点，重回临界点以上，制造业恢复性扩张；本周钢材总库存量2150.45万吨，周环比减少70.73万吨；本周五大品种钢材产量948.41万吨，周环比减少16.11万吨；其中，螺纹钢产量269.86万吨，周环比减少18.05万吨。</w:t>
            </w:r>
          </w:p>
          <w:p>
            <w:pPr>
              <w:widowControl/>
              <w:suppressAutoHyphens w:val="0"/>
              <w:jc w:val="left"/>
              <w:rPr>
                <w:rFonts w:hint="eastAsia"/>
                <w:color w:val="auto"/>
                <w:lang w:val="en-US" w:eastAsia="zh-CN"/>
              </w:rPr>
            </w:pPr>
            <w:r>
              <w:rPr>
                <w:rFonts w:hint="eastAsia"/>
                <w:color w:val="auto"/>
                <w:lang w:val="en-US" w:eastAsia="zh-CN"/>
              </w:rPr>
              <w:t xml:space="preserve">        据Mysteel不完全统计，6月15日-30日，全国样本企业共有34座在检高炉、累计容积33730m³，铁水日产量减少9.99万吨；共有21座在检电炉、粗钢日产量减少5.31万吨。</w:t>
            </w:r>
          </w:p>
          <w:p>
            <w:pPr>
              <w:widowControl/>
              <w:suppressAutoHyphens w:val="0"/>
              <w:jc w:val="left"/>
              <w:rPr>
                <w:rFonts w:hint="default" w:eastAsia="宋体"/>
                <w:color w:val="auto"/>
                <w:lang w:val="en-US" w:eastAsia="zh-CN"/>
              </w:rPr>
            </w:pPr>
            <w:r>
              <w:rPr>
                <w:rFonts w:hint="eastAsia"/>
                <w:color w:val="auto"/>
                <w:lang w:val="en-US" w:eastAsia="zh-CN"/>
              </w:rPr>
              <w:t xml:space="preserve">        夜盘铁矿石价格震荡回落，终端需求持续疲弱，钢铁利润低位甚至亏损，压制原料价格的反弹空间，而粗钢压减政策下下半年生铁产量仍有较大的下行空间，铁矿石市场供需逐渐宽松，港口库存或将在7月份见到拐点，短线震荡偏弱运行。</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波段偏空操作，中期保持逢反弹沽空的思路。</w:t>
            </w:r>
          </w:p>
          <w:p>
            <w:pPr>
              <w:rPr>
                <w:rFonts w:hint="eastAsia"/>
                <w:b/>
                <w:color w:val="auto"/>
                <w:lang w:eastAsia="zh-CN"/>
              </w:rPr>
            </w:pPr>
          </w:p>
          <w:p>
            <w:pPr>
              <w:rPr>
                <w:rFonts w:hint="eastAsia"/>
                <w:b/>
                <w:color w:val="auto"/>
                <w:lang w:eastAsia="zh-CN"/>
              </w:rPr>
            </w:pPr>
            <w:r>
              <w:rPr>
                <w:rFonts w:hint="eastAsia"/>
                <w:b/>
                <w:color w:val="auto"/>
                <w:lang w:eastAsia="zh-CN"/>
              </w:rPr>
              <w:t>(</w:t>
            </w:r>
            <w:r>
              <w:rPr>
                <w:rFonts w:hint="eastAsia"/>
                <w:b/>
                <w:color w:val="auto"/>
                <w:lang w:eastAsia="zh-CN"/>
              </w:rPr>
              <w:t>杨俊林)</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焦炭第二轮提降仍在博弈当中，幅度200元/吨，双焦价格弱稳。山西介休1.3硫主焦2500元/吨，蒙5金泉提货价2350元/吨（-100），加拿大主焦到港价430美元/吨；吕梁准一出厂价2950元/吨，唐山二级焦到厂价3050元/吨，青岛港准一焦平仓价3200元/吨。</w:t>
            </w:r>
          </w:p>
          <w:p>
            <w:pPr>
              <w:widowControl/>
              <w:suppressAutoHyphens w:val="0"/>
              <w:ind w:firstLine="630" w:firstLineChars="300"/>
              <w:jc w:val="left"/>
              <w:rPr>
                <w:rFonts w:hint="eastAsia"/>
                <w:color w:val="auto"/>
              </w:rPr>
            </w:pPr>
            <w:r>
              <w:rPr>
                <w:rFonts w:hint="eastAsia"/>
                <w:color w:val="auto"/>
              </w:rPr>
              <w:t>本周焦炭开工继续下滑，库存小幅下降。独立焦企日均产量64.8万吨，减1，钢厂焦企日均产量47.8万吨，减0.01。独立焦企库存77万吨，增5.9，钢厂库存607.8万吨，增2.5，港口库存321.3万吨，减16.2。</w:t>
            </w:r>
          </w:p>
          <w:p>
            <w:pPr>
              <w:widowControl/>
              <w:suppressAutoHyphens w:val="0"/>
              <w:ind w:firstLine="630" w:firstLineChars="300"/>
              <w:jc w:val="left"/>
              <w:rPr>
                <w:rFonts w:hint="eastAsia"/>
                <w:color w:val="auto"/>
              </w:rPr>
            </w:pPr>
            <w:r>
              <w:rPr>
                <w:rFonts w:hint="eastAsia"/>
                <w:color w:val="auto"/>
              </w:rPr>
              <w:t>本周焦煤库存小幅下滑。独立焦企库存1073.8万吨，减19，钢厂库存867.7万吨，减10.4，港口库存516.6万吨，增13.9。</w:t>
            </w:r>
          </w:p>
          <w:p>
            <w:pPr>
              <w:widowControl/>
              <w:suppressAutoHyphens w:val="0"/>
              <w:ind w:firstLine="630" w:firstLineChars="300"/>
              <w:jc w:val="left"/>
              <w:rPr>
                <w:rFonts w:hint="eastAsia"/>
                <w:color w:val="auto"/>
              </w:rPr>
            </w:pPr>
            <w:r>
              <w:rPr>
                <w:rFonts w:hint="eastAsia"/>
                <w:color w:val="auto"/>
              </w:rPr>
              <w:t>国务院总理李克强主持召开国务院常务会议，确定政策性开发性金融工具支持重大项目建设的举措，扩大有效投资促进就业和消费。会议决定，运用政策性、开发性金融工具，通过发行金融债券等筹资3000亿元，用于补充重大项目资本金或为专项债项目资本金搭桥。</w:t>
            </w:r>
          </w:p>
          <w:p>
            <w:pPr>
              <w:widowControl/>
              <w:suppressAutoHyphens w:val="0"/>
              <w:ind w:firstLine="630" w:firstLineChars="300"/>
              <w:jc w:val="left"/>
              <w:rPr>
                <w:rFonts w:hint="eastAsia"/>
                <w:color w:val="auto"/>
              </w:rPr>
            </w:pPr>
            <w:r>
              <w:rPr>
                <w:rFonts w:hint="eastAsia"/>
                <w:color w:val="auto"/>
              </w:rPr>
              <w:t>宁夏六部门联合印发《宁夏回族自治区“两高”项目管理目录（2022年版）》，旨在结合实际，细化“两高”行业范围，科学精准管理“两高”项目，遏制“两高”项目盲目发展。</w:t>
            </w:r>
          </w:p>
          <w:p>
            <w:pPr>
              <w:widowControl/>
              <w:suppressAutoHyphens w:val="0"/>
              <w:ind w:firstLine="630" w:firstLineChars="300"/>
              <w:jc w:val="left"/>
              <w:rPr>
                <w:rFonts w:hint="eastAsia" w:eastAsia="宋体"/>
                <w:color w:val="auto"/>
                <w:lang w:val="en-US" w:eastAsia="zh-CN"/>
              </w:rPr>
            </w:pPr>
            <w:r>
              <w:rPr>
                <w:rFonts w:hint="eastAsia"/>
                <w:color w:val="auto"/>
              </w:rPr>
              <w:t>短期钢厂继续对焦炭提降第二轮，盘面反弹后平水现货的位置压力相应增大，昨日双焦承压回落。不过本周煤焦钢供应继续下滑，边际供求继续改善，也将限制盘面下行空间。但上行驱动仍在于终端需求强弱，如终端需求走强、带动生铁产量回升，市场进入正反馈状态，双焦价格才有继续向上的驱动。</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关注盘面回调后的前低支撑力度，暂时观望。</w:t>
            </w:r>
          </w:p>
          <w:p>
            <w:pPr>
              <w:rPr>
                <w:rFonts w:hint="eastAsia"/>
                <w:b/>
                <w:color w:val="auto"/>
                <w:lang w:eastAsia="zh-CN"/>
              </w:rPr>
            </w:pPr>
          </w:p>
          <w:p>
            <w:pPr>
              <w:rPr>
                <w:b/>
                <w:color w:val="auto"/>
                <w:lang w:eastAsia="zh-CN"/>
              </w:rPr>
            </w:pPr>
            <w:r>
              <w:rPr>
                <w:rFonts w:hint="eastAsia"/>
                <w:b/>
                <w:color w:val="auto"/>
                <w:lang w:eastAsia="zh-CN"/>
              </w:rPr>
              <w:t>（李岩）</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震荡走软，沪铝主力月2208合约收至19060元/吨，跌275元，跌幅1.42%。现货方面，30日长江现货成交价格19210-19250元/吨，跌140元，贴水35-升水5；广东现货19160-19220元/吨，跌130元，贴水85-贴水55；华通报19260-19300元/吨，跌140元。持货商上下调价，接货方看跌观望少采，交投走弱，成交显得一般。</w:t>
            </w:r>
          </w:p>
          <w:p>
            <w:pPr>
              <w:widowControl/>
              <w:suppressAutoHyphens w:val="0"/>
              <w:ind w:firstLine="630" w:firstLineChars="300"/>
              <w:jc w:val="left"/>
              <w:rPr>
                <w:rFonts w:hint="eastAsia"/>
                <w:color w:val="auto"/>
                <w:lang w:val="en-US" w:eastAsia="zh-CN"/>
              </w:rPr>
            </w:pPr>
            <w:r>
              <w:rPr>
                <w:rFonts w:hint="eastAsia"/>
                <w:color w:val="auto"/>
                <w:lang w:val="en-US" w:eastAsia="zh-CN"/>
              </w:rPr>
              <w:t>30日，SMM统计国内电解铝社会库存73.4万吨，较上周四库存下降1.7万吨，本周内库存下降1.2万吨；较5月末库存下降18.9万吨。电解铝铝锭库存仍维持去库趋势，但降幅已经逐渐放缓。本周国内铝下游加工龙头企业开工率环比上周小幅增长0.04个百分点至66.70%。</w:t>
            </w:r>
          </w:p>
          <w:p>
            <w:pPr>
              <w:widowControl/>
              <w:suppressAutoHyphens w:val="0"/>
              <w:ind w:firstLine="630" w:firstLineChars="300"/>
              <w:jc w:val="left"/>
              <w:rPr>
                <w:color w:val="auto"/>
              </w:rPr>
            </w:pPr>
            <w:r>
              <w:rPr>
                <w:rFonts w:hint="eastAsia"/>
                <w:color w:val="auto"/>
                <w:lang w:val="en-US" w:eastAsia="zh-CN"/>
              </w:rPr>
              <w:t>俄欧关系持续恶化，欧洲天然气价格飙升，欧洲铝企减产忧虑升温。国内运行产能稳步抬升，部分产能出现亏损，产量继续释放。国内防疫政策逐步宽松，但下游需求仍无明显好转，终端地产持续低迷继续拖累铝价。近日宏观情绪仍不稳定，且临近需求淡季，下行压力仍限制涨幅。</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操作上观望或震荡思路对待，关注下游消费兑现情况。</w:t>
            </w:r>
          </w:p>
          <w:p>
            <w:pPr>
              <w:rPr>
                <w:rFonts w:hint="eastAsia"/>
                <w:b/>
                <w:color w:val="auto"/>
                <w:lang w:eastAsia="zh-CN"/>
              </w:rPr>
            </w:pPr>
          </w:p>
          <w:p>
            <w:pPr>
              <w:rPr>
                <w:b/>
                <w:color w:val="auto"/>
                <w:lang w:eastAsia="zh-CN"/>
              </w:rPr>
            </w:pPr>
            <w:r>
              <w:rPr>
                <w:rFonts w:hint="eastAsia"/>
                <w:b/>
                <w:color w:val="auto"/>
                <w:lang w:eastAsia="zh-CN"/>
              </w:rPr>
              <w:t>（有色组）</w:t>
            </w:r>
          </w:p>
        </w:tc>
      </w:tr>
      <w:tr>
        <w:tblPrEx>
          <w:tblCellMar>
            <w:top w:w="0" w:type="dxa"/>
            <w:left w:w="108" w:type="dxa"/>
            <w:bottom w:w="0" w:type="dxa"/>
            <w:right w:w="108" w:type="dxa"/>
          </w:tblCellMar>
        </w:tblPrEx>
        <w:trPr>
          <w:cantSplit/>
          <w:trHeight w:val="4292"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美国5月核心PCE物价指数同比低于预期，且继续回落，通胀压力有缓和的迹象，不过美国就业等数据表现趋弱，昨日欧美股市下挫，海外主要金融市场情绪显著承压。国内国常会继续强调稳住经济大盘，6月制造业PMI升至50以上的扩张区域，国内经济保持回稳态势，不过宏观形势的回稳传导至天胶需求的改善仍需要时间。昨日国内工业品期货指数承压回落，有再探前低的迹象，短期对胶价带来压力和波动影响。行业方面，昨日国内外天胶原料价格以持稳为主，经过了持续的下跌，泰国胶水价格的高位压力大幅下降，截至6月26日，青岛地区天胶保税和一般贸易合计库存量36.65万吨，较上期缩减0.05万吨，环比下跌0.14%，虽然保持去库但去库速度缓慢。本周中国半钢胎和全钢胎开工率均有小幅下降，轮胎企业库存和销售压力均较大。昨日国内天然橡胶现货价格维持震荡走势（全乳胶12750元/吨，持稳；20号泰标1685美元/吨，持稳，折合人民币11309元/吨；20号泰混12600元/吨，持稳），市场采购情绪一般。</w:t>
            </w:r>
          </w:p>
          <w:p>
            <w:pPr>
              <w:widowControl/>
              <w:suppressAutoHyphens w:val="0"/>
              <w:ind w:firstLine="630" w:firstLineChars="300"/>
              <w:jc w:val="left"/>
              <w:rPr>
                <w:rFonts w:hint="eastAsia" w:eastAsia="宋体"/>
                <w:color w:val="auto"/>
                <w:lang w:eastAsia="zh-CN"/>
              </w:rPr>
            </w:pPr>
            <w:r>
              <w:rPr>
                <w:rFonts w:hint="eastAsia"/>
                <w:color w:val="auto"/>
              </w:rPr>
              <w:t>技术面：昨日RU2209承压震荡，夜盘小幅收跌，多空持仓延续乏力表现，当前RU依旧处于月中以来的低位震荡局面，上方12900-13000的压力迟迟无法突破，短期存在再次下探的可能，不过下方12600附近依旧有较强的支持。</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操作建议：轻仓波段交易或观望，区间思路。</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王海峰）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OPEC+已同意继续将8月份的原油产量配额增加64.8万桶/天。美国总统拜登准备于7月15日至16日访问沙特，与海湾领导人举行峰会。美国西海岸的港口和码头工人表示，他们将错过7月1日签署劳工协议的最后期限，使化工公司面临更多供应链问题的风险。美国监管机构希望自由港LNG采取纠正措施并寻求批准，然后再恢复德州出口设施的正常运营，该设施自6月8日爆炸和火灾以来一直关闭。6月29日，财政部、发改委发布《关于做好国际油价触及调控上限后实施阶段性价格补贴有关工作的通知》明确，当国际油价高于130美元每桶时，国内成品油价格阶段性不再上调，同时还将对炼油企业实行阶段性价格补贴。政策持续时间暂按两个月掌握。中国商务部已于2022年第二批向35家符合条件的独立和非国有炼油厂批准了5256万吨（3.8526亿桶）原油进口配额。比2021年同批3522万吨增长了49.2%。高盛首席大宗商品策略师杰夫·柯里表示，今年夏天布伦特原油期货价格最高将涨至每桶140美元。他认为，当前油气领域投资不足将继续推动油价攀升。此前在6月7日，高盛曾发布报告预测布伦特原油价格将触及每桶140美元。但自那之后，国际油价就连续两周下挫。沙特的炼油能力在2021年增长了13.7%，是同行中增幅最大的国家之一，主要是在红海的西海岸增加了40万桶/日的吉赞炼油厂。自最近上线新管道产能以来，加拿大重质原油越来越多地流向美国墨西哥湾沿岸，WCS和Mars基准面临巨大差异。</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全球经济放缓压力导致多头获利了结，国际油价继续下跌，且交易商在美国国庆日假期前平仓，导致美油跌幅加深。NYMEX原油期货08合约105.76跌4.02美元/桶或3.67%；ICE布油期货08合约114.81跌1.45美元/桶或1.25%。</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操作思路以短期高位震荡为主，关注布伦特原油震荡区间110-120美元/桶，注意止盈止损。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006B66"/>
    <w:rsid w:val="01A17F68"/>
    <w:rsid w:val="042D0F35"/>
    <w:rsid w:val="057C20A4"/>
    <w:rsid w:val="08D77793"/>
    <w:rsid w:val="093706B3"/>
    <w:rsid w:val="09656767"/>
    <w:rsid w:val="099174FC"/>
    <w:rsid w:val="09E27D0D"/>
    <w:rsid w:val="0A57325E"/>
    <w:rsid w:val="0A624104"/>
    <w:rsid w:val="0B544A92"/>
    <w:rsid w:val="0C12090D"/>
    <w:rsid w:val="0D7A2D36"/>
    <w:rsid w:val="12294B95"/>
    <w:rsid w:val="124F21B0"/>
    <w:rsid w:val="13B23C90"/>
    <w:rsid w:val="14E22F0B"/>
    <w:rsid w:val="16714D70"/>
    <w:rsid w:val="18890622"/>
    <w:rsid w:val="18B11A3E"/>
    <w:rsid w:val="18B21305"/>
    <w:rsid w:val="195C02AF"/>
    <w:rsid w:val="1A8E2066"/>
    <w:rsid w:val="1C955016"/>
    <w:rsid w:val="1CAE3AF0"/>
    <w:rsid w:val="1E9D2B4C"/>
    <w:rsid w:val="1EC70303"/>
    <w:rsid w:val="1F7E29BD"/>
    <w:rsid w:val="1F8072E8"/>
    <w:rsid w:val="20970D76"/>
    <w:rsid w:val="226C1608"/>
    <w:rsid w:val="227E57F8"/>
    <w:rsid w:val="227F224C"/>
    <w:rsid w:val="23C604D1"/>
    <w:rsid w:val="23F270CF"/>
    <w:rsid w:val="245A2629"/>
    <w:rsid w:val="2A7A4984"/>
    <w:rsid w:val="2B252FF2"/>
    <w:rsid w:val="2D8D3BC9"/>
    <w:rsid w:val="2FCC19BF"/>
    <w:rsid w:val="31EC1213"/>
    <w:rsid w:val="321D62B5"/>
    <w:rsid w:val="341F7FC4"/>
    <w:rsid w:val="353D5E3C"/>
    <w:rsid w:val="358935BB"/>
    <w:rsid w:val="36AB3BBE"/>
    <w:rsid w:val="375761BA"/>
    <w:rsid w:val="384D33C8"/>
    <w:rsid w:val="39983F44"/>
    <w:rsid w:val="3CF13880"/>
    <w:rsid w:val="406C6812"/>
    <w:rsid w:val="40A56BD2"/>
    <w:rsid w:val="41A00C7B"/>
    <w:rsid w:val="424E1F35"/>
    <w:rsid w:val="426E1857"/>
    <w:rsid w:val="430419B8"/>
    <w:rsid w:val="43811021"/>
    <w:rsid w:val="442D0F38"/>
    <w:rsid w:val="465F7101"/>
    <w:rsid w:val="49131CBA"/>
    <w:rsid w:val="491A1D27"/>
    <w:rsid w:val="4A29450B"/>
    <w:rsid w:val="4A2A5B0A"/>
    <w:rsid w:val="4B25247A"/>
    <w:rsid w:val="4CDB5F58"/>
    <w:rsid w:val="4D9E7DC0"/>
    <w:rsid w:val="4DA0349C"/>
    <w:rsid w:val="4FCE0CA2"/>
    <w:rsid w:val="4FFF16B7"/>
    <w:rsid w:val="501C1047"/>
    <w:rsid w:val="509328D4"/>
    <w:rsid w:val="5132643B"/>
    <w:rsid w:val="518F71CD"/>
    <w:rsid w:val="526922B9"/>
    <w:rsid w:val="53B809A0"/>
    <w:rsid w:val="5610706B"/>
    <w:rsid w:val="578723B2"/>
    <w:rsid w:val="57D67B07"/>
    <w:rsid w:val="58CF0924"/>
    <w:rsid w:val="5B116A65"/>
    <w:rsid w:val="5B922A05"/>
    <w:rsid w:val="5CDE1F17"/>
    <w:rsid w:val="5FAE7A14"/>
    <w:rsid w:val="60593F12"/>
    <w:rsid w:val="66714647"/>
    <w:rsid w:val="66CC74E1"/>
    <w:rsid w:val="73C8743F"/>
    <w:rsid w:val="76583639"/>
    <w:rsid w:val="7A3D7229"/>
    <w:rsid w:val="7A857A1E"/>
    <w:rsid w:val="7A8C2DBA"/>
    <w:rsid w:val="7B9137A7"/>
    <w:rsid w:val="7C086E1A"/>
    <w:rsid w:val="7DFC7528"/>
    <w:rsid w:val="7E71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10</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2022-07-01T00:44:36Z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