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cs="宋体"/>
          <w:color w:val="auto"/>
          <w:kern w:val="0"/>
          <w:szCs w:val="21"/>
          <w:lang w:eastAsia="zh-CN"/>
        </w:rPr>
      </w:pPr>
      <w:r>
        <w:rPr>
          <w:rFonts w:hint="eastAsia" w:ascii="宋体" w:hAnsi="宋体" w:cs="宋体"/>
          <w:color w:val="auto"/>
          <w:kern w:val="0"/>
          <w:szCs w:val="21"/>
          <w:lang w:eastAsia="zh-CN"/>
        </w:rPr>
        <w:t>道通早报</w:t>
      </w:r>
    </w:p>
    <w:p>
      <w:pPr>
        <w:widowControl/>
        <w:jc w:val="right"/>
        <w:rPr>
          <w:rFonts w:ascii="宋体" w:hAnsi="宋体" w:cs="宋体"/>
          <w:color w:val="auto"/>
          <w:kern w:val="0"/>
          <w:szCs w:val="21"/>
          <w:lang w:eastAsia="zh-CN"/>
        </w:rPr>
      </w:pPr>
      <w:r>
        <w:rPr>
          <w:rFonts w:hint="eastAsia" w:ascii="宋体" w:hAnsi="宋体" w:cs="宋体"/>
          <w:color w:val="auto"/>
          <w:kern w:val="0"/>
          <w:szCs w:val="21"/>
          <w:lang w:eastAsia="zh-CN"/>
        </w:rPr>
        <w:t>日期：202</w:t>
      </w:r>
      <w:r>
        <w:rPr>
          <w:rFonts w:hint="eastAsia" w:ascii="宋体" w:hAnsi="宋体" w:cs="宋体"/>
          <w:color w:val="auto"/>
          <w:kern w:val="0"/>
          <w:szCs w:val="21"/>
          <w:lang w:val="en-US" w:eastAsia="zh-CN"/>
        </w:rPr>
        <w:t>2</w:t>
      </w:r>
      <w:r>
        <w:rPr>
          <w:rFonts w:hint="eastAsia" w:ascii="宋体" w:hAnsi="宋体" w:cs="宋体"/>
          <w:color w:val="auto"/>
          <w:kern w:val="0"/>
          <w:szCs w:val="21"/>
          <w:lang w:eastAsia="zh-CN"/>
        </w:rPr>
        <w:t>年</w:t>
      </w:r>
      <w:r>
        <w:rPr>
          <w:rFonts w:hint="eastAsia" w:ascii="宋体" w:hAnsi="宋体" w:cs="宋体"/>
          <w:color w:val="auto"/>
          <w:kern w:val="0"/>
          <w:szCs w:val="21"/>
          <w:lang w:val="en-US" w:eastAsia="zh-CN"/>
        </w:rPr>
        <w:t>6月30</w:t>
      </w:r>
      <w:r>
        <w:rPr>
          <w:rFonts w:hint="eastAsia" w:ascii="宋体" w:hAnsi="宋体" w:cs="宋体"/>
          <w:color w:val="auto"/>
          <w:kern w:val="0"/>
          <w:szCs w:val="21"/>
          <w:lang w:eastAsia="zh-CN"/>
        </w:rPr>
        <w:t>日</w:t>
      </w:r>
    </w:p>
    <w:p>
      <w:pPr>
        <w:jc w:val="center"/>
        <w:rPr>
          <w:rFonts w:ascii="宋体" w:hAnsi="宋体" w:cs="宋体"/>
          <w:color w:val="auto"/>
          <w:kern w:val="0"/>
          <w:szCs w:val="21"/>
          <w:lang w:eastAsia="zh-CN"/>
        </w:rPr>
      </w:pPr>
    </w:p>
    <w:p>
      <w:pPr>
        <w:jc w:val="center"/>
        <w:rPr>
          <w:rFonts w:ascii="宋体" w:hAnsi="宋体" w:cs="宋体"/>
          <w:color w:val="auto"/>
          <w:kern w:val="0"/>
          <w:szCs w:val="21"/>
          <w:lang w:eastAsia="zh-CN"/>
        </w:rPr>
      </w:pPr>
      <w:bookmarkStart w:id="0" w:name="_GoBack"/>
      <w:bookmarkEnd w:id="0"/>
    </w:p>
    <w:p>
      <w:pPr>
        <w:jc w:val="center"/>
        <w:rPr>
          <w:rFonts w:ascii="宋体" w:hAnsi="宋体" w:cs="宋体"/>
          <w:color w:val="auto"/>
          <w:kern w:val="0"/>
          <w:szCs w:val="21"/>
          <w:lang w:eastAsia="zh-CN"/>
        </w:rPr>
      </w:pPr>
      <w:r>
        <w:rPr>
          <w:rFonts w:hint="eastAsia" w:ascii="宋体" w:hAnsi="宋体" w:cs="宋体"/>
          <w:color w:val="auto"/>
          <w:kern w:val="0"/>
          <w:szCs w:val="21"/>
          <w:lang w:eastAsia="zh-CN"/>
        </w:rPr>
        <w:t>【经济要闻】</w:t>
      </w:r>
    </w:p>
    <w:p>
      <w:pPr>
        <w:rPr>
          <w:color w:val="auto"/>
        </w:rPr>
      </w:pPr>
    </w:p>
    <w:p>
      <w:pPr>
        <w:rPr>
          <w:color w:val="auto"/>
        </w:rPr>
      </w:pPr>
    </w:p>
    <w:p>
      <w:pPr>
        <w:jc w:val="left"/>
        <w:rPr>
          <w:rFonts w:hint="eastAsia"/>
          <w:color w:val="auto"/>
        </w:rPr>
      </w:pPr>
      <w:r>
        <w:rPr>
          <w:rFonts w:hint="eastAsia"/>
          <w:color w:val="auto"/>
        </w:rPr>
        <w:t>【国际宏观基本面信息】</w:t>
      </w:r>
    </w:p>
    <w:p>
      <w:pPr>
        <w:jc w:val="left"/>
        <w:rPr>
          <w:rFonts w:hint="eastAsia"/>
          <w:color w:val="auto"/>
        </w:rPr>
      </w:pPr>
      <w:r>
        <w:rPr>
          <w:rFonts w:hint="eastAsia"/>
          <w:color w:val="auto"/>
        </w:rPr>
        <w:t>1  美国商务部经济分析局（BEA）数据显示，美国一季度实际GDP年化季环比终值-1.6%，较5月份公布的第二次预估下调了0.1个百分点。而2021年第四季度为正增长6.9%。</w:t>
      </w:r>
    </w:p>
    <w:p>
      <w:pPr>
        <w:jc w:val="left"/>
        <w:rPr>
          <w:rFonts w:hint="eastAsia"/>
          <w:color w:val="auto"/>
        </w:rPr>
      </w:pPr>
      <w:r>
        <w:rPr>
          <w:rFonts w:hint="eastAsia"/>
          <w:color w:val="auto"/>
        </w:rPr>
        <w:t>2  欧洲央行行长拉加德重申7月加息25个基点的态度。但比起此前的言论，拉加德对于抗击通胀的措辞更为强硬，其表示，欧洲央行将以“坚定而持续的方式”采取行动，应对欧元区创纪录的通胀，特别是如果有迹象表明消费者和企业的通胀预期急剧上升。</w:t>
      </w:r>
    </w:p>
    <w:p>
      <w:pPr>
        <w:jc w:val="left"/>
        <w:rPr>
          <w:rFonts w:hint="eastAsia"/>
          <w:color w:val="auto"/>
        </w:rPr>
      </w:pPr>
    </w:p>
    <w:p>
      <w:pPr>
        <w:jc w:val="left"/>
        <w:rPr>
          <w:rFonts w:hint="eastAsia"/>
          <w:color w:val="auto"/>
        </w:rPr>
      </w:pPr>
      <w:r>
        <w:rPr>
          <w:rFonts w:hint="eastAsia"/>
          <w:color w:val="auto"/>
        </w:rPr>
        <w:t>【国内宏观基本面信息】</w:t>
      </w:r>
    </w:p>
    <w:p>
      <w:pPr>
        <w:jc w:val="left"/>
        <w:rPr>
          <w:rFonts w:hint="eastAsia"/>
          <w:color w:val="auto"/>
        </w:rPr>
      </w:pPr>
      <w:r>
        <w:rPr>
          <w:rFonts w:hint="eastAsia"/>
          <w:color w:val="auto"/>
        </w:rPr>
        <w:t>1  中国央行发布货币政策委员会2022年第二季度例会的通稿。与今年一季度例会措辞相比，在分析国内外经济金融形势时，央行将“经济发展和疫情防控保持全球领先地位”调整为“最大程度稳住经济社会发展基本盘”，将“国外疫情持续”调整为“全球经济增长放缓、通胀高位运行”，将“国内疫情发生频次有所增多”调整为“防控形势总体向好但任务仍然艰巨”。</w:t>
      </w:r>
    </w:p>
    <w:p>
      <w:pPr>
        <w:jc w:val="left"/>
        <w:rPr>
          <w:rFonts w:hint="eastAsia"/>
          <w:color w:val="auto"/>
        </w:rPr>
      </w:pPr>
      <w:r>
        <w:rPr>
          <w:rFonts w:hint="eastAsia"/>
          <w:color w:val="auto"/>
        </w:rPr>
        <w:t>2  财政部、发改委：当国际市场原油价格高于国家规定的成品油价格调控上限时，对炼油企业实行阶段性价格补贴</w:t>
      </w:r>
    </w:p>
    <w:p>
      <w:pPr>
        <w:jc w:val="left"/>
        <w:rPr>
          <w:rFonts w:hint="eastAsia"/>
          <w:color w:val="auto"/>
        </w:rPr>
      </w:pPr>
      <w:r>
        <w:rPr>
          <w:rFonts w:hint="eastAsia"/>
          <w:color w:val="auto"/>
        </w:rPr>
        <w:t>3  国务院关税税则委员会发布关于对美加征关税商品第八次排除延期清单的公告</w:t>
      </w:r>
    </w:p>
    <w:p>
      <w:pPr>
        <w:jc w:val="left"/>
        <w:rPr>
          <w:rFonts w:hint="eastAsia"/>
          <w:color w:val="auto"/>
        </w:rPr>
      </w:pPr>
      <w:r>
        <w:rPr>
          <w:rFonts w:hint="eastAsia"/>
          <w:color w:val="auto"/>
        </w:rPr>
        <w:t>4  工信部：为坚决落实党中央、国务院关于“外防输入、内防反弹”总策略和“动态清零”总方针，支撑高效统筹疫情防控和经济社会发展，方便广大用户出行，即日起取消通信行程卡“星号”标记。</w:t>
      </w:r>
    </w:p>
    <w:p>
      <w:pPr>
        <w:jc w:val="left"/>
        <w:rPr>
          <w:rFonts w:hint="eastAsia"/>
          <w:color w:val="auto"/>
        </w:rPr>
      </w:pPr>
      <w:r>
        <w:rPr>
          <w:rFonts w:hint="eastAsia"/>
          <w:color w:val="auto"/>
        </w:rPr>
        <w:t>5  证监会发布通告，决定进一步降低交易所债券市场交易成本，对民营企业债券融资交易费用应免尽免。</w:t>
      </w:r>
    </w:p>
    <w:p>
      <w:pPr>
        <w:jc w:val="left"/>
        <w:rPr>
          <w:rFonts w:hint="eastAsia"/>
          <w:color w:val="auto"/>
        </w:rPr>
      </w:pPr>
      <w:r>
        <w:rPr>
          <w:rFonts w:hint="eastAsia"/>
          <w:color w:val="auto"/>
        </w:rPr>
        <w:t xml:space="preserve"> 6  乘联会：6月1-26日，乘用车市场零售142.2万辆，同比去年增长27%，较上月同期增长37%</w:t>
      </w:r>
    </w:p>
    <w:p>
      <w:pPr>
        <w:jc w:val="left"/>
        <w:rPr>
          <w:rFonts w:hint="eastAsia"/>
          <w:color w:val="auto"/>
        </w:rPr>
      </w:pPr>
    </w:p>
    <w:p>
      <w:pPr>
        <w:jc w:val="left"/>
        <w:rPr>
          <w:rFonts w:hint="eastAsia"/>
          <w:color w:val="auto"/>
        </w:rPr>
      </w:pPr>
      <w:r>
        <w:rPr>
          <w:rFonts w:hint="eastAsia"/>
          <w:color w:val="auto"/>
        </w:rPr>
        <w:t>【当日重要经济数据】</w:t>
      </w:r>
    </w:p>
    <w:p>
      <w:pPr>
        <w:jc w:val="left"/>
        <w:rPr>
          <w:rFonts w:hint="eastAsia"/>
          <w:color w:val="auto"/>
        </w:rPr>
      </w:pPr>
      <w:r>
        <w:rPr>
          <w:rFonts w:hint="eastAsia"/>
          <w:color w:val="auto"/>
        </w:rPr>
        <w:t>09:30</w:t>
      </w:r>
      <w:r>
        <w:rPr>
          <w:rFonts w:hint="eastAsia"/>
          <w:color w:val="auto"/>
        </w:rPr>
        <w:tab/>
      </w:r>
      <w:r>
        <w:rPr>
          <w:rFonts w:hint="eastAsia"/>
          <w:color w:val="auto"/>
        </w:rPr>
        <w:t>中国6月官方制造业PMI</w:t>
      </w:r>
      <w:r>
        <w:rPr>
          <w:rFonts w:hint="eastAsia"/>
          <w:color w:val="auto"/>
        </w:rPr>
        <w:tab/>
      </w:r>
      <w:r>
        <w:rPr>
          <w:rFonts w:hint="eastAsia"/>
          <w:color w:val="auto"/>
        </w:rPr>
        <w:t>49.6</w:t>
      </w:r>
      <w:r>
        <w:rPr>
          <w:rFonts w:hint="eastAsia"/>
          <w:color w:val="auto"/>
        </w:rPr>
        <w:tab/>
      </w:r>
      <w:r>
        <w:rPr>
          <w:rFonts w:hint="eastAsia"/>
          <w:color w:val="auto"/>
        </w:rPr>
        <w:t>50.5</w:t>
      </w:r>
      <w:r>
        <w:rPr>
          <w:rFonts w:hint="eastAsia"/>
          <w:color w:val="auto"/>
        </w:rPr>
        <w:tab/>
      </w:r>
      <w:r>
        <w:rPr>
          <w:rFonts w:hint="eastAsia"/>
          <w:color w:val="auto"/>
        </w:rPr>
        <w:tab/>
      </w:r>
    </w:p>
    <w:p>
      <w:pPr>
        <w:jc w:val="left"/>
        <w:rPr>
          <w:rFonts w:hint="eastAsia"/>
          <w:color w:val="auto"/>
        </w:rPr>
      </w:pPr>
      <w:r>
        <w:rPr>
          <w:rFonts w:hint="eastAsia"/>
          <w:color w:val="auto"/>
        </w:rPr>
        <w:t>中国6月官方非制造业PMI</w:t>
      </w:r>
      <w:r>
        <w:rPr>
          <w:rFonts w:hint="eastAsia"/>
          <w:color w:val="auto"/>
        </w:rPr>
        <w:tab/>
      </w:r>
      <w:r>
        <w:rPr>
          <w:rFonts w:hint="eastAsia"/>
          <w:color w:val="auto"/>
        </w:rPr>
        <w:t>47.8</w:t>
      </w:r>
      <w:r>
        <w:rPr>
          <w:rFonts w:hint="eastAsia"/>
          <w:color w:val="auto"/>
        </w:rPr>
        <w:tab/>
      </w:r>
      <w:r>
        <w:rPr>
          <w:rFonts w:hint="eastAsia"/>
          <w:color w:val="auto"/>
        </w:rPr>
        <w:t>50.5</w:t>
      </w:r>
      <w:r>
        <w:rPr>
          <w:rFonts w:hint="eastAsia"/>
          <w:color w:val="auto"/>
        </w:rPr>
        <w:tab/>
      </w:r>
      <w:r>
        <w:rPr>
          <w:rFonts w:hint="eastAsia"/>
          <w:color w:val="auto"/>
        </w:rPr>
        <w:tab/>
      </w:r>
      <w:r>
        <w:rPr>
          <w:rFonts w:hint="eastAsia"/>
          <w:color w:val="auto"/>
        </w:rPr>
        <w:tab/>
      </w:r>
    </w:p>
    <w:p>
      <w:pPr>
        <w:jc w:val="left"/>
        <w:rPr>
          <w:rFonts w:hint="eastAsia"/>
          <w:color w:val="auto"/>
        </w:rPr>
      </w:pPr>
      <w:r>
        <w:rPr>
          <w:rFonts w:hint="eastAsia"/>
          <w:color w:val="auto"/>
        </w:rPr>
        <w:t>中国6月官方综合PMI</w:t>
      </w:r>
      <w:r>
        <w:rPr>
          <w:rFonts w:hint="eastAsia"/>
          <w:color w:val="auto"/>
        </w:rPr>
        <w:tab/>
      </w:r>
      <w:r>
        <w:rPr>
          <w:rFonts w:hint="eastAsia"/>
          <w:color w:val="auto"/>
        </w:rPr>
        <w:t>48.4</w:t>
      </w:r>
    </w:p>
    <w:p>
      <w:pPr>
        <w:jc w:val="left"/>
        <w:rPr>
          <w:rFonts w:hint="eastAsia"/>
          <w:color w:val="auto"/>
        </w:rPr>
      </w:pPr>
      <w:r>
        <w:rPr>
          <w:rFonts w:hint="eastAsia"/>
          <w:color w:val="auto"/>
        </w:rPr>
        <w:t>17:00</w:t>
      </w:r>
      <w:r>
        <w:rPr>
          <w:rFonts w:hint="eastAsia"/>
          <w:color w:val="auto"/>
        </w:rPr>
        <w:tab/>
      </w:r>
      <w:r>
        <w:rPr>
          <w:rFonts w:hint="eastAsia"/>
          <w:color w:val="auto"/>
        </w:rPr>
        <w:t>欧元区5月失业率(%)</w:t>
      </w:r>
      <w:r>
        <w:rPr>
          <w:rFonts w:hint="eastAsia"/>
          <w:color w:val="auto"/>
        </w:rPr>
        <w:tab/>
      </w:r>
      <w:r>
        <w:rPr>
          <w:rFonts w:hint="eastAsia"/>
          <w:color w:val="auto"/>
        </w:rPr>
        <w:t>6.8</w:t>
      </w:r>
      <w:r>
        <w:rPr>
          <w:rFonts w:hint="eastAsia"/>
          <w:color w:val="auto"/>
        </w:rPr>
        <w:tab/>
      </w:r>
      <w:r>
        <w:rPr>
          <w:rFonts w:hint="eastAsia"/>
          <w:color w:val="auto"/>
        </w:rPr>
        <w:t>6.8</w:t>
      </w:r>
    </w:p>
    <w:p>
      <w:pPr>
        <w:jc w:val="left"/>
        <w:rPr>
          <w:rFonts w:hint="eastAsia"/>
          <w:color w:val="auto"/>
        </w:rPr>
      </w:pPr>
      <w:r>
        <w:rPr>
          <w:rFonts w:hint="eastAsia"/>
          <w:color w:val="auto"/>
        </w:rPr>
        <w:t>20:30</w:t>
      </w:r>
      <w:r>
        <w:rPr>
          <w:rFonts w:hint="eastAsia"/>
          <w:color w:val="auto"/>
        </w:rPr>
        <w:tab/>
      </w:r>
      <w:r>
        <w:rPr>
          <w:rFonts w:hint="eastAsia"/>
          <w:color w:val="auto"/>
        </w:rPr>
        <w:t>美国截至6月25日当周初请失业金人数(万)</w:t>
      </w:r>
      <w:r>
        <w:rPr>
          <w:rFonts w:hint="eastAsia"/>
          <w:color w:val="auto"/>
        </w:rPr>
        <w:tab/>
      </w:r>
      <w:r>
        <w:rPr>
          <w:rFonts w:hint="eastAsia"/>
          <w:color w:val="auto"/>
        </w:rPr>
        <w:t>22.9</w:t>
      </w:r>
      <w:r>
        <w:rPr>
          <w:rFonts w:hint="eastAsia"/>
          <w:color w:val="auto"/>
        </w:rPr>
        <w:tab/>
      </w:r>
      <w:r>
        <w:rPr>
          <w:rFonts w:hint="eastAsia"/>
          <w:color w:val="auto"/>
        </w:rPr>
        <w:t>22.8</w:t>
      </w:r>
      <w:r>
        <w:rPr>
          <w:rFonts w:hint="eastAsia"/>
          <w:color w:val="auto"/>
        </w:rPr>
        <w:tab/>
      </w:r>
      <w:r>
        <w:rPr>
          <w:rFonts w:hint="eastAsia"/>
          <w:color w:val="auto"/>
        </w:rPr>
        <w:tab/>
      </w:r>
    </w:p>
    <w:p>
      <w:pPr>
        <w:jc w:val="left"/>
        <w:rPr>
          <w:rFonts w:hint="eastAsia"/>
          <w:color w:val="auto"/>
        </w:rPr>
      </w:pPr>
      <w:r>
        <w:rPr>
          <w:rFonts w:hint="eastAsia"/>
          <w:color w:val="auto"/>
        </w:rPr>
        <w:t>美国截至6月25日当周初请失业金人数四周均值(万)</w:t>
      </w:r>
      <w:r>
        <w:rPr>
          <w:rFonts w:hint="eastAsia"/>
          <w:color w:val="auto"/>
        </w:rPr>
        <w:tab/>
      </w:r>
      <w:r>
        <w:rPr>
          <w:rFonts w:hint="eastAsia"/>
          <w:color w:val="auto"/>
        </w:rPr>
        <w:t>22.35</w:t>
      </w:r>
      <w:r>
        <w:rPr>
          <w:rFonts w:hint="eastAsia"/>
          <w:color w:val="auto"/>
        </w:rPr>
        <w:tab/>
      </w:r>
      <w:r>
        <w:rPr>
          <w:rFonts w:hint="eastAsia"/>
          <w:color w:val="auto"/>
        </w:rPr>
        <w:tab/>
      </w:r>
    </w:p>
    <w:p>
      <w:pPr>
        <w:jc w:val="left"/>
        <w:rPr>
          <w:rFonts w:hint="eastAsia"/>
          <w:color w:val="auto"/>
        </w:rPr>
      </w:pPr>
      <w:r>
        <w:rPr>
          <w:rFonts w:hint="eastAsia"/>
          <w:color w:val="auto"/>
        </w:rPr>
        <w:t>美国截至6月25日当周续请失业金人数(万)</w:t>
      </w:r>
      <w:r>
        <w:rPr>
          <w:rFonts w:hint="eastAsia"/>
          <w:color w:val="auto"/>
        </w:rPr>
        <w:tab/>
      </w:r>
      <w:r>
        <w:rPr>
          <w:rFonts w:hint="eastAsia"/>
          <w:color w:val="auto"/>
        </w:rPr>
        <w:t>131.5</w:t>
      </w:r>
      <w:r>
        <w:rPr>
          <w:rFonts w:hint="eastAsia"/>
          <w:color w:val="auto"/>
        </w:rPr>
        <w:tab/>
      </w:r>
      <w:r>
        <w:rPr>
          <w:rFonts w:hint="eastAsia"/>
          <w:color w:val="auto"/>
        </w:rPr>
        <w:t>131</w:t>
      </w:r>
      <w:r>
        <w:rPr>
          <w:rFonts w:hint="eastAsia"/>
          <w:color w:val="auto"/>
        </w:rPr>
        <w:tab/>
      </w:r>
      <w:r>
        <w:rPr>
          <w:rFonts w:hint="eastAsia"/>
          <w:color w:val="auto"/>
        </w:rPr>
        <w:tab/>
      </w:r>
    </w:p>
    <w:p>
      <w:pPr>
        <w:jc w:val="left"/>
        <w:rPr>
          <w:rFonts w:hint="eastAsia"/>
          <w:color w:val="auto"/>
        </w:rPr>
      </w:pPr>
      <w:r>
        <w:rPr>
          <w:rFonts w:hint="eastAsia"/>
          <w:color w:val="auto"/>
        </w:rPr>
        <w:t>20:30</w:t>
      </w:r>
      <w:r>
        <w:rPr>
          <w:rFonts w:hint="eastAsia"/>
          <w:color w:val="auto"/>
        </w:rPr>
        <w:tab/>
      </w:r>
      <w:r>
        <w:rPr>
          <w:rFonts w:hint="eastAsia"/>
          <w:color w:val="auto"/>
        </w:rPr>
        <w:t>美国5月个人支出月率(%)</w:t>
      </w:r>
      <w:r>
        <w:rPr>
          <w:rFonts w:hint="eastAsia"/>
          <w:color w:val="auto"/>
        </w:rPr>
        <w:tab/>
      </w:r>
      <w:r>
        <w:rPr>
          <w:rFonts w:hint="eastAsia"/>
          <w:color w:val="auto"/>
        </w:rPr>
        <w:t>0.9</w:t>
      </w:r>
      <w:r>
        <w:rPr>
          <w:rFonts w:hint="eastAsia"/>
          <w:color w:val="auto"/>
        </w:rPr>
        <w:tab/>
      </w:r>
      <w:r>
        <w:rPr>
          <w:rFonts w:hint="eastAsia"/>
          <w:color w:val="auto"/>
        </w:rPr>
        <w:t>0.4</w:t>
      </w:r>
    </w:p>
    <w:p>
      <w:pPr>
        <w:jc w:val="left"/>
        <w:rPr>
          <w:rFonts w:hint="eastAsia"/>
          <w:color w:val="auto"/>
        </w:rPr>
      </w:pPr>
      <w:r>
        <w:rPr>
          <w:rFonts w:hint="eastAsia"/>
          <w:color w:val="auto"/>
        </w:rPr>
        <w:t>21:45</w:t>
      </w:r>
      <w:r>
        <w:rPr>
          <w:rFonts w:hint="eastAsia"/>
          <w:color w:val="auto"/>
        </w:rPr>
        <w:tab/>
      </w:r>
      <w:r>
        <w:rPr>
          <w:rFonts w:hint="eastAsia"/>
          <w:color w:val="auto"/>
        </w:rPr>
        <w:t>美国6月芝加哥PMI</w:t>
      </w:r>
      <w:r>
        <w:rPr>
          <w:rFonts w:hint="eastAsia"/>
          <w:color w:val="auto"/>
        </w:rPr>
        <w:tab/>
      </w:r>
      <w:r>
        <w:rPr>
          <w:rFonts w:hint="eastAsia"/>
          <w:color w:val="auto"/>
        </w:rPr>
        <w:t>60.3</w:t>
      </w:r>
      <w:r>
        <w:rPr>
          <w:rFonts w:hint="eastAsia"/>
          <w:color w:val="auto"/>
        </w:rPr>
        <w:tab/>
      </w:r>
      <w:r>
        <w:rPr>
          <w:rFonts w:hint="eastAsia"/>
          <w:color w:val="auto"/>
        </w:rPr>
        <w:t>58.0</w:t>
      </w:r>
    </w:p>
    <w:p>
      <w:pPr>
        <w:jc w:val="left"/>
        <w:rPr>
          <w:rFonts w:hint="eastAsia"/>
          <w:color w:val="auto"/>
        </w:rPr>
      </w:pPr>
    </w:p>
    <w:p>
      <w:pPr>
        <w:jc w:val="left"/>
        <w:rPr>
          <w:rFonts w:hint="eastAsia"/>
          <w:color w:val="auto"/>
        </w:rPr>
      </w:pPr>
      <w:r>
        <w:rPr>
          <w:rFonts w:hint="eastAsia"/>
          <w:color w:val="auto"/>
        </w:rPr>
        <w:t>【证券指数思路】</w:t>
      </w:r>
    </w:p>
    <w:p>
      <w:pPr>
        <w:jc w:val="left"/>
        <w:rPr>
          <w:rFonts w:hint="eastAsia"/>
          <w:color w:val="auto"/>
        </w:rPr>
      </w:pPr>
      <w:r>
        <w:rPr>
          <w:rFonts w:hint="eastAsia"/>
          <w:color w:val="auto"/>
        </w:rPr>
        <w:t xml:space="preserve">          三大指数均呈现震荡态势，午后市场跌幅有所扩大，截至收盘，沪指跌1.4%，报3361.52点，深成指跌2.2%，报12696.5点，创业板指跌2.53%，报2768.61点，科创50指数跌2.38%。沪深两市合计成交额13162.4亿元，刷新本轮反弹以来新高，为连续第5个交易日超1万亿元；北向资金实际净卖出16.83亿元。</w:t>
      </w:r>
    </w:p>
    <w:p>
      <w:pPr>
        <w:jc w:val="left"/>
        <w:rPr>
          <w:rFonts w:hint="eastAsia"/>
          <w:color w:val="auto"/>
        </w:rPr>
      </w:pPr>
      <w:r>
        <w:rPr>
          <w:rFonts w:hint="eastAsia"/>
          <w:color w:val="auto"/>
        </w:rPr>
        <w:t xml:space="preserve">    多空资金分歧加剧，不过依然运行在5日线上方，短期留意均线支撑，阶段性还需留意反复，密切关注近期短期投机性资金的快速流动</w:t>
      </w:r>
    </w:p>
    <w:p>
      <w:pPr>
        <w:jc w:val="left"/>
        <w:rPr>
          <w:rFonts w:hint="eastAsia"/>
          <w:color w:val="auto"/>
          <w:lang w:val="en-US" w:eastAsia="zh-CN"/>
        </w:rPr>
      </w:pPr>
    </w:p>
    <w:p>
      <w:pPr>
        <w:jc w:val="left"/>
        <w:rPr>
          <w:rFonts w:hint="eastAsia"/>
          <w:color w:val="auto"/>
          <w:lang w:val="en-US" w:eastAsia="zh-CN"/>
        </w:rPr>
      </w:pPr>
    </w:p>
    <w:p>
      <w:pPr>
        <w:jc w:val="left"/>
        <w:rPr>
          <w:rFonts w:hint="eastAsia"/>
          <w:color w:val="auto"/>
          <w:lang w:val="en-US" w:eastAsia="zh-CN"/>
        </w:rPr>
      </w:pPr>
    </w:p>
    <w:p>
      <w:pPr>
        <w:jc w:val="left"/>
        <w:rPr>
          <w:rFonts w:hint="eastAsia"/>
          <w:color w:val="auto"/>
          <w:lang w:val="en-US" w:eastAsia="zh-CN"/>
        </w:rPr>
      </w:pPr>
    </w:p>
    <w:p>
      <w:pPr>
        <w:jc w:val="left"/>
        <w:rPr>
          <w:rFonts w:hint="eastAsia"/>
          <w:color w:val="auto"/>
          <w:lang w:val="en-US" w:eastAsia="zh-CN"/>
        </w:rPr>
      </w:pPr>
    </w:p>
    <w:p>
      <w:pPr>
        <w:jc w:val="center"/>
        <w:rPr>
          <w:rFonts w:ascii="宋体" w:hAnsi="宋体" w:cs="宋体"/>
          <w:color w:val="auto"/>
          <w:kern w:val="0"/>
          <w:szCs w:val="21"/>
          <w:lang w:eastAsia="zh-CN"/>
        </w:rPr>
      </w:pPr>
      <w:r>
        <w:rPr>
          <w:rFonts w:hint="eastAsia" w:ascii="宋体" w:hAnsi="宋体" w:cs="宋体"/>
          <w:color w:val="auto"/>
          <w:kern w:val="0"/>
          <w:szCs w:val="21"/>
          <w:lang w:eastAsia="zh-CN"/>
        </w:rPr>
        <w:t>【分品种动态】</w:t>
      </w:r>
    </w:p>
    <w:p>
      <w:pPr>
        <w:jc w:val="both"/>
        <w:rPr>
          <w:rFonts w:ascii="黑体" w:eastAsia="黑体" w:cs="宋体"/>
          <w:color w:val="auto"/>
          <w:szCs w:val="21"/>
        </w:rPr>
      </w:pPr>
    </w:p>
    <w:p>
      <w:pPr>
        <w:rPr>
          <w:rFonts w:ascii="黑体" w:eastAsia="黑体" w:cs="宋体"/>
          <w:color w:val="auto"/>
          <w:szCs w:val="21"/>
        </w:rPr>
      </w:pPr>
    </w:p>
    <w:p>
      <w:pPr>
        <w:widowControl/>
        <w:jc w:val="left"/>
        <w:rPr>
          <w:color w:val="auto"/>
          <w:szCs w:val="21"/>
        </w:rPr>
      </w:pPr>
      <w:r>
        <w:rPr>
          <w:rFonts w:hint="eastAsia" w:ascii="黑体" w:eastAsia="黑体" w:cs="黑体"/>
          <w:color w:val="auto"/>
          <w:szCs w:val="21"/>
        </w:rPr>
        <w:t>◆农产品</w:t>
      </w:r>
    </w:p>
    <w:tbl>
      <w:tblPr>
        <w:tblStyle w:val="4"/>
        <w:tblW w:w="9004" w:type="dxa"/>
        <w:tblInd w:w="-15" w:type="dxa"/>
        <w:tblLayout w:type="fixed"/>
        <w:tblCellMar>
          <w:top w:w="0" w:type="dxa"/>
          <w:left w:w="108" w:type="dxa"/>
          <w:bottom w:w="0" w:type="dxa"/>
          <w:right w:w="108" w:type="dxa"/>
        </w:tblCellMar>
      </w:tblPr>
      <w:tblGrid>
        <w:gridCol w:w="549"/>
        <w:gridCol w:w="6405"/>
        <w:gridCol w:w="2050"/>
      </w:tblGrid>
      <w:tr>
        <w:tblPrEx>
          <w:tblCellMar>
            <w:top w:w="0" w:type="dxa"/>
            <w:left w:w="108" w:type="dxa"/>
            <w:bottom w:w="0" w:type="dxa"/>
            <w:right w:w="108" w:type="dxa"/>
          </w:tblCellMar>
        </w:tblPrEx>
        <w:trPr>
          <w:trHeight w:val="507" w:hRule="atLeast"/>
        </w:trPr>
        <w:tc>
          <w:tcPr>
            <w:tcW w:w="549" w:type="dxa"/>
            <w:tcBorders>
              <w:top w:val="single" w:color="000000" w:sz="4" w:space="0"/>
              <w:left w:val="single" w:color="000000" w:sz="4" w:space="0"/>
              <w:bottom w:val="single" w:color="000000" w:sz="4" w:space="0"/>
              <w:right w:val="nil"/>
            </w:tcBorders>
          </w:tcPr>
          <w:p>
            <w:pPr>
              <w:widowControl/>
              <w:snapToGrid w:val="0"/>
              <w:jc w:val="left"/>
              <w:rPr>
                <w:rFonts w:ascii="宋体" w:hAnsi="宋体"/>
                <w:color w:val="auto"/>
                <w:szCs w:val="21"/>
              </w:rPr>
            </w:pPr>
          </w:p>
        </w:tc>
        <w:tc>
          <w:tcPr>
            <w:tcW w:w="6405" w:type="dxa"/>
            <w:tcBorders>
              <w:top w:val="single" w:color="000000" w:sz="4" w:space="0"/>
              <w:left w:val="single" w:color="000000" w:sz="4" w:space="0"/>
              <w:bottom w:val="single" w:color="000000" w:sz="4" w:space="0"/>
              <w:right w:val="nil"/>
            </w:tcBorders>
            <w:vAlign w:val="center"/>
          </w:tcPr>
          <w:p>
            <w:pPr>
              <w:widowControl/>
              <w:rPr>
                <w:rFonts w:ascii="宋体" w:hAnsi="宋体" w:cs="宋体"/>
                <w:b/>
                <w:color w:val="auto"/>
                <w:szCs w:val="21"/>
              </w:rPr>
            </w:pPr>
            <w:r>
              <w:rPr>
                <w:rFonts w:hint="eastAsia" w:ascii="宋体" w:hAnsi="宋体" w:cs="宋体"/>
                <w:b/>
                <w:color w:val="auto"/>
                <w:szCs w:val="21"/>
              </w:rPr>
              <w:t>内外盘综述</w:t>
            </w:r>
          </w:p>
        </w:tc>
        <w:tc>
          <w:tcPr>
            <w:tcW w:w="2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b/>
                <w:color w:val="auto"/>
                <w:szCs w:val="21"/>
              </w:rPr>
            </w:pPr>
            <w:r>
              <w:rPr>
                <w:rFonts w:hint="eastAsia" w:ascii="宋体" w:hAnsi="宋体" w:cs="宋体"/>
                <w:b/>
                <w:color w:val="auto"/>
                <w:szCs w:val="21"/>
              </w:rPr>
              <w:t>简评及操作策略</w:t>
            </w:r>
          </w:p>
        </w:tc>
      </w:tr>
      <w:tr>
        <w:tblPrEx>
          <w:tblCellMar>
            <w:top w:w="0" w:type="dxa"/>
            <w:left w:w="108" w:type="dxa"/>
            <w:bottom w:w="0" w:type="dxa"/>
            <w:right w:w="108" w:type="dxa"/>
          </w:tblCellMar>
        </w:tblPrEx>
        <w:trPr>
          <w:trHeight w:val="669" w:hRule="atLeast"/>
        </w:trPr>
        <w:tc>
          <w:tcPr>
            <w:tcW w:w="549" w:type="dxa"/>
            <w:tcBorders>
              <w:top w:val="single" w:color="000000" w:sz="4" w:space="0"/>
              <w:left w:val="single" w:color="000000" w:sz="4" w:space="0"/>
              <w:bottom w:val="single" w:color="000000" w:sz="4" w:space="0"/>
              <w:right w:val="nil"/>
            </w:tcBorders>
          </w:tcPr>
          <w:p>
            <w:pPr>
              <w:widowControl/>
              <w:snapToGrid w:val="0"/>
              <w:jc w:val="left"/>
              <w:rPr>
                <w:rFonts w:ascii="宋体" w:hAnsi="宋体" w:cs="宋体"/>
                <w:b/>
                <w:color w:val="auto"/>
                <w:kern w:val="0"/>
                <w:szCs w:val="21"/>
                <w:lang w:eastAsia="zh-CN"/>
              </w:rPr>
            </w:pPr>
            <w:r>
              <w:rPr>
                <w:rFonts w:hint="eastAsia" w:ascii="宋体" w:hAnsi="宋体" w:cs="宋体"/>
                <w:b/>
                <w:color w:val="auto"/>
                <w:kern w:val="0"/>
                <w:szCs w:val="21"/>
                <w:lang w:eastAsia="zh-CN"/>
              </w:rPr>
              <w:t>豆粕</w:t>
            </w:r>
          </w:p>
        </w:tc>
        <w:tc>
          <w:tcPr>
            <w:tcW w:w="6405" w:type="dxa"/>
            <w:tcBorders>
              <w:top w:val="single" w:color="000000" w:sz="4" w:space="0"/>
              <w:left w:val="single" w:color="000000" w:sz="4" w:space="0"/>
              <w:bottom w:val="single" w:color="000000" w:sz="4" w:space="0"/>
              <w:right w:val="nil"/>
            </w:tcBorders>
          </w:tcPr>
          <w:p>
            <w:pPr>
              <w:ind w:firstLine="840" w:firstLineChars="400"/>
              <w:rPr>
                <w:rFonts w:hint="default" w:eastAsia="宋体"/>
                <w:color w:val="auto"/>
                <w:lang w:val="en-US" w:eastAsia="zh-CN"/>
              </w:rPr>
            </w:pPr>
            <w:r>
              <w:rPr>
                <w:rFonts w:hint="eastAsia"/>
                <w:color w:val="auto"/>
              </w:rPr>
              <w:t>隔夜外围美元收涨于105.10部位；人民币离岸价稳定在6.702。欧美股市小跌。美股在平盘上下游走。鲍威尔称，设计出避免经济衰退的紧缩政策有可能但机会不大。美原油在连涨三日后收跌，保持区间波动模式。芝加哥(CBOT)大豆扩大涨幅，交易商在美国政府发布关键的种植面积报告前进行空头回补。CBOT 7月大豆收涨10-1/2美分，结算价报每蒲式耳16.74-1/4美元；新作11月大豆合约收涨15-3/4美分，结算价报14.78-1/4美元。7月豆粕收涨8.10美元，结算价报每短吨463.20美元，交投最活跃的12月豆粕收涨6.80美元，结算价报每短吨407.00美元。7月豆油收涨0.510美分，结算价报每磅72.60美分，交易最活跃的12月豆油收涨0.220美分，结算价报每磅66.98美分。交易商预计美国农业部在周四的种植面积和库存报告中会下调对大豆种植面积的预测。一项调查显示，八位分析师平均预计，全球最大的大豆供应国巴西的大豆种植面积可能增长近3%，至4,220万公顷(1.042亿英亩)。巴西下一年度大豆产量料将接近1.48亿吨，较当前作物年度增长18.5%，因预计农户将增加种植面积，且单产预计改善；此前干旱令即将结束的当前年度产量大幅减少。在美国农业部周四发布每周出口销售报告之前，交易商预计报告将显示截至6月23日当周，美国大豆出口销售料持平至净增80万吨。其中，2021/22年度大豆出口销售量预计为净减10万吨至净增30万吨，2022/23年度大豆出口销售料净增10-50万吨。交易商表示，周三美国铁路和卡车市场豆粕现货基差要价持平，但在美国独立日假期前需求强劲。</w:t>
            </w:r>
          </w:p>
        </w:tc>
        <w:tc>
          <w:tcPr>
            <w:tcW w:w="2050" w:type="dxa"/>
            <w:tcBorders>
              <w:top w:val="single" w:color="000000" w:sz="4" w:space="0"/>
              <w:left w:val="single" w:color="000000" w:sz="4" w:space="0"/>
              <w:bottom w:val="single" w:color="000000" w:sz="4" w:space="0"/>
              <w:right w:val="single" w:color="000000" w:sz="4" w:space="0"/>
            </w:tcBorders>
          </w:tcPr>
          <w:p>
            <w:pPr>
              <w:widowControl/>
              <w:suppressAutoHyphens w:val="0"/>
              <w:jc w:val="left"/>
              <w:rPr>
                <w:rFonts w:hint="eastAsia"/>
                <w:b/>
                <w:color w:val="auto"/>
                <w:lang w:eastAsia="zh-CN"/>
              </w:rPr>
            </w:pPr>
            <w:r>
              <w:rPr>
                <w:rFonts w:hint="eastAsia"/>
                <w:b/>
                <w:color w:val="auto"/>
                <w:lang w:eastAsia="zh-CN"/>
              </w:rPr>
              <w:t>框架如前，美豆自区间低沿反弹数日，在美农重要报告前投资者调整头寸。 大连盘跟随。9月油粕比在2.64；粕9－1逆差在223点。粕9日内续看围绕3900上方的波动，宜灵活。　　</w:t>
            </w:r>
          </w:p>
          <w:p>
            <w:pPr>
              <w:widowControl/>
              <w:suppressAutoHyphens w:val="0"/>
              <w:jc w:val="left"/>
              <w:rPr>
                <w:rFonts w:hint="eastAsia"/>
                <w:b/>
                <w:color w:val="auto"/>
                <w:lang w:eastAsia="zh-CN"/>
              </w:rPr>
            </w:pPr>
          </w:p>
          <w:p>
            <w:pPr>
              <w:widowControl/>
              <w:suppressAutoHyphens w:val="0"/>
              <w:jc w:val="left"/>
              <w:rPr>
                <w:b/>
                <w:color w:val="auto"/>
                <w:lang w:eastAsia="zh-CN"/>
              </w:rPr>
            </w:pPr>
            <w:r>
              <w:rPr>
                <w:rFonts w:hint="eastAsia"/>
                <w:b/>
                <w:color w:val="auto"/>
                <w:lang w:eastAsia="zh-CN"/>
              </w:rPr>
              <w:t>（农产品部）</w:t>
            </w:r>
          </w:p>
        </w:tc>
      </w:tr>
      <w:tr>
        <w:tblPrEx>
          <w:tblCellMar>
            <w:top w:w="0" w:type="dxa"/>
            <w:left w:w="108" w:type="dxa"/>
            <w:bottom w:w="0" w:type="dxa"/>
            <w:right w:w="108" w:type="dxa"/>
          </w:tblCellMar>
        </w:tblPrEx>
        <w:trPr>
          <w:trHeight w:val="669" w:hRule="atLeast"/>
        </w:trPr>
        <w:tc>
          <w:tcPr>
            <w:tcW w:w="549" w:type="dxa"/>
            <w:tcBorders>
              <w:top w:val="single" w:color="000000" w:sz="4" w:space="0"/>
              <w:left w:val="single" w:color="000000" w:sz="4" w:space="0"/>
              <w:bottom w:val="single" w:color="000000" w:sz="4" w:space="0"/>
              <w:right w:val="nil"/>
            </w:tcBorders>
            <w:vAlign w:val="top"/>
          </w:tcPr>
          <w:p>
            <w:pPr>
              <w:widowControl/>
              <w:snapToGrid w:val="0"/>
              <w:jc w:val="left"/>
              <w:rPr>
                <w:rFonts w:hint="default" w:ascii="宋体" w:hAnsi="宋体" w:eastAsia="宋体" w:cs="宋体"/>
                <w:b/>
                <w:color w:val="auto"/>
                <w:kern w:val="0"/>
                <w:sz w:val="21"/>
                <w:szCs w:val="21"/>
                <w:lang w:val="en-US" w:eastAsia="zh-CN" w:bidi="ar-SA"/>
              </w:rPr>
            </w:pPr>
            <w:r>
              <w:rPr>
                <w:rFonts w:hint="eastAsia" w:ascii="宋体" w:hAnsi="宋体" w:cs="宋体"/>
                <w:b/>
                <w:color w:val="auto"/>
                <w:kern w:val="0"/>
                <w:sz w:val="21"/>
                <w:szCs w:val="21"/>
                <w:lang w:val="en-US" w:eastAsia="zh-CN" w:bidi="ar-SA"/>
              </w:rPr>
              <w:t>棉花</w:t>
            </w:r>
          </w:p>
        </w:tc>
        <w:tc>
          <w:tcPr>
            <w:tcW w:w="6405" w:type="dxa"/>
            <w:tcBorders>
              <w:top w:val="single" w:color="000000" w:sz="4" w:space="0"/>
              <w:left w:val="single" w:color="000000" w:sz="4" w:space="0"/>
              <w:bottom w:val="single" w:color="000000" w:sz="4" w:space="0"/>
              <w:right w:val="nil"/>
            </w:tcBorders>
            <w:vAlign w:val="top"/>
          </w:tcPr>
          <w:p>
            <w:pPr>
              <w:ind w:firstLine="840" w:firstLineChars="400"/>
              <w:rPr>
                <w:rFonts w:hint="eastAsia"/>
                <w:color w:val="auto"/>
              </w:rPr>
            </w:pPr>
            <w:r>
              <w:rPr>
                <w:rFonts w:hint="eastAsia"/>
                <w:color w:val="auto"/>
              </w:rPr>
              <w:t>美棉美棉涨停，12月合约最新价格97美分。根据美国农业部最新数据显示，目前全美棉株生长偏差率为30%，较去年同期增加23%，其中得州棉株偏差率56%，较去年同期大幅增加47%，目前偏差率已超过11年同期1%，近期得州棉区干旱情况有所增加，需关注产区天气变化情况。</w:t>
            </w:r>
          </w:p>
          <w:p>
            <w:pPr>
              <w:ind w:firstLine="840" w:firstLineChars="400"/>
              <w:rPr>
                <w:rFonts w:hint="eastAsia"/>
                <w:color w:val="auto"/>
              </w:rPr>
            </w:pPr>
            <w:r>
              <w:rPr>
                <w:rFonts w:hint="eastAsia"/>
                <w:color w:val="auto"/>
              </w:rPr>
              <w:t>郑棉大涨，9月合约最新价格17960元，6月29日，棉花现货指数CCI3128B报价至18341元/吨（+16），期现价差-766（09合约收盘价-现货价），涤纶短纤报价8520元/吨(-30)，黏胶短纤报价15600元/吨（+0）；CY Index C32S报价27790元/吨（-35），FCY Index C32S(进口棉纱价格指数)报价32083元/吨（+41）；郑棉仓单15335（-24），有效预报893（-60）。美国EMOT M到港价140.35分/磅（+0）；巴西M到港价139.3美分/磅（+0）。</w:t>
            </w:r>
          </w:p>
          <w:p>
            <w:pPr>
              <w:ind w:firstLine="840" w:firstLineChars="400"/>
              <w:rPr>
                <w:rFonts w:hint="eastAsia" w:ascii="Times New Roman" w:hAnsi="Times New Roman" w:eastAsia="宋体" w:cs="Times New Roman"/>
                <w:color w:val="auto"/>
                <w:kern w:val="2"/>
                <w:sz w:val="21"/>
                <w:lang w:val="en-US" w:eastAsia="zh-CN" w:bidi="ar-SA"/>
              </w:rPr>
            </w:pPr>
            <w:r>
              <w:rPr>
                <w:rFonts w:hint="eastAsia"/>
                <w:color w:val="auto"/>
              </w:rPr>
              <w:t>90多美分的美棉估值中性，匹配当前的低库存现状；国内市场等待相关政策的明朗，花纱价差转正，郑棉快速反弹，大跌后快速大涨，投机性强，行情上反弹延续。</w:t>
            </w:r>
          </w:p>
        </w:tc>
        <w:tc>
          <w:tcPr>
            <w:tcW w:w="2050" w:type="dxa"/>
            <w:tcBorders>
              <w:top w:val="single" w:color="000000" w:sz="4" w:space="0"/>
              <w:left w:val="single" w:color="000000" w:sz="4" w:space="0"/>
              <w:bottom w:val="single" w:color="000000" w:sz="4" w:space="0"/>
              <w:right w:val="single" w:color="000000" w:sz="4" w:space="0"/>
            </w:tcBorders>
            <w:vAlign w:val="top"/>
          </w:tcPr>
          <w:p>
            <w:pPr>
              <w:widowControl/>
              <w:suppressAutoHyphens w:val="0"/>
              <w:jc w:val="left"/>
              <w:rPr>
                <w:rFonts w:hint="eastAsia"/>
                <w:b/>
                <w:color w:val="auto"/>
                <w:lang w:eastAsia="zh-CN"/>
              </w:rPr>
            </w:pPr>
            <w:r>
              <w:rPr>
                <w:rFonts w:hint="eastAsia"/>
                <w:b/>
                <w:color w:val="auto"/>
                <w:lang w:eastAsia="zh-CN"/>
              </w:rPr>
              <w:t>操作上，继续观望，关注30日的美棉种植报告。</w:t>
            </w:r>
          </w:p>
          <w:p>
            <w:pPr>
              <w:widowControl/>
              <w:suppressAutoHyphens w:val="0"/>
              <w:jc w:val="left"/>
              <w:rPr>
                <w:rFonts w:hint="eastAsia"/>
                <w:b/>
                <w:color w:val="auto"/>
                <w:lang w:eastAsia="zh-CN"/>
              </w:rPr>
            </w:pPr>
          </w:p>
          <w:p>
            <w:pPr>
              <w:widowControl/>
              <w:suppressAutoHyphens w:val="0"/>
              <w:jc w:val="left"/>
              <w:rPr>
                <w:rFonts w:hint="eastAsia" w:ascii="Times New Roman" w:hAnsi="Times New Roman" w:eastAsia="宋体" w:cs="Times New Roman"/>
                <w:b/>
                <w:color w:val="auto"/>
                <w:kern w:val="2"/>
                <w:sz w:val="21"/>
                <w:lang w:val="en-US" w:eastAsia="zh-CN" w:bidi="ar-SA"/>
              </w:rPr>
            </w:pPr>
            <w:r>
              <w:rPr>
                <w:rFonts w:hint="eastAsia"/>
                <w:b/>
                <w:color w:val="auto"/>
                <w:lang w:eastAsia="zh-CN"/>
              </w:rPr>
              <w:t>（</w:t>
            </w:r>
            <w:r>
              <w:rPr>
                <w:rFonts w:hint="eastAsia"/>
                <w:b/>
                <w:color w:val="auto"/>
                <w:lang w:val="en-US" w:eastAsia="zh-CN"/>
              </w:rPr>
              <w:t>苗玲</w:t>
            </w:r>
            <w:r>
              <w:rPr>
                <w:rFonts w:hint="eastAsia"/>
                <w:b/>
                <w:color w:val="auto"/>
                <w:lang w:eastAsia="zh-CN"/>
              </w:rPr>
              <w:t>）</w:t>
            </w:r>
          </w:p>
        </w:tc>
      </w:tr>
    </w:tbl>
    <w:p>
      <w:pPr>
        <w:widowControl/>
        <w:jc w:val="left"/>
        <w:rPr>
          <w:rFonts w:hint="eastAsia" w:ascii="黑体" w:eastAsia="黑体" w:cs="宋体"/>
          <w:color w:val="auto"/>
          <w:szCs w:val="21"/>
        </w:rPr>
      </w:pPr>
    </w:p>
    <w:p>
      <w:pPr>
        <w:widowControl/>
        <w:jc w:val="left"/>
        <w:rPr>
          <w:rFonts w:hint="eastAsia" w:ascii="黑体" w:eastAsia="黑体" w:cs="宋体"/>
          <w:color w:val="auto"/>
          <w:szCs w:val="21"/>
        </w:rPr>
      </w:pPr>
    </w:p>
    <w:p>
      <w:pPr>
        <w:widowControl/>
        <w:jc w:val="left"/>
        <w:rPr>
          <w:rFonts w:hint="eastAsia" w:ascii="黑体" w:eastAsia="黑体" w:cs="宋体"/>
          <w:color w:val="auto"/>
          <w:szCs w:val="21"/>
        </w:rPr>
      </w:pPr>
    </w:p>
    <w:p>
      <w:pPr>
        <w:widowControl/>
        <w:jc w:val="left"/>
        <w:rPr>
          <w:rFonts w:hint="eastAsia" w:ascii="黑体" w:eastAsia="黑体" w:cs="宋体"/>
          <w:color w:val="auto"/>
          <w:szCs w:val="21"/>
        </w:rPr>
      </w:pPr>
    </w:p>
    <w:p>
      <w:pPr>
        <w:widowControl/>
        <w:jc w:val="left"/>
        <w:rPr>
          <w:rFonts w:hint="eastAsia" w:ascii="黑体" w:eastAsia="黑体" w:cs="宋体"/>
          <w:color w:val="auto"/>
          <w:szCs w:val="21"/>
        </w:rPr>
      </w:pPr>
    </w:p>
    <w:p>
      <w:pPr>
        <w:widowControl/>
        <w:jc w:val="left"/>
        <w:rPr>
          <w:rFonts w:hint="eastAsia" w:ascii="黑体" w:eastAsia="黑体" w:cs="宋体"/>
          <w:color w:val="auto"/>
          <w:szCs w:val="21"/>
        </w:rPr>
      </w:pPr>
    </w:p>
    <w:p>
      <w:pPr>
        <w:widowControl/>
        <w:jc w:val="left"/>
        <w:rPr>
          <w:rFonts w:hint="eastAsia" w:ascii="黑体" w:eastAsia="黑体" w:cs="宋体"/>
          <w:color w:val="auto"/>
          <w:szCs w:val="21"/>
        </w:rPr>
      </w:pPr>
    </w:p>
    <w:p>
      <w:pPr>
        <w:widowControl/>
        <w:jc w:val="left"/>
        <w:rPr>
          <w:rFonts w:hint="eastAsia" w:ascii="黑体" w:eastAsia="黑体" w:cs="宋体"/>
          <w:color w:val="auto"/>
          <w:szCs w:val="21"/>
        </w:rPr>
      </w:pPr>
    </w:p>
    <w:p>
      <w:pPr>
        <w:widowControl/>
        <w:jc w:val="left"/>
        <w:rPr>
          <w:rFonts w:hint="eastAsia" w:ascii="黑体" w:eastAsia="黑体" w:cs="宋体"/>
          <w:color w:val="auto"/>
          <w:szCs w:val="21"/>
        </w:rPr>
      </w:pPr>
    </w:p>
    <w:p>
      <w:pPr>
        <w:widowControl/>
        <w:jc w:val="left"/>
        <w:rPr>
          <w:rFonts w:hint="eastAsia" w:ascii="黑体" w:eastAsia="黑体" w:cs="宋体"/>
          <w:color w:val="auto"/>
          <w:szCs w:val="21"/>
        </w:rPr>
      </w:pPr>
    </w:p>
    <w:p>
      <w:pPr>
        <w:widowControl/>
        <w:jc w:val="left"/>
        <w:rPr>
          <w:rFonts w:hint="eastAsia" w:ascii="黑体" w:eastAsia="黑体" w:cs="宋体"/>
          <w:color w:val="auto"/>
          <w:szCs w:val="21"/>
        </w:rPr>
      </w:pPr>
    </w:p>
    <w:p>
      <w:pPr>
        <w:widowControl/>
        <w:jc w:val="left"/>
        <w:rPr>
          <w:rFonts w:hint="eastAsia" w:ascii="黑体" w:eastAsia="黑体" w:cs="宋体"/>
          <w:color w:val="auto"/>
          <w:szCs w:val="21"/>
        </w:rPr>
      </w:pPr>
    </w:p>
    <w:p>
      <w:pPr>
        <w:widowControl/>
        <w:jc w:val="left"/>
        <w:rPr>
          <w:rFonts w:hint="eastAsia" w:ascii="黑体" w:eastAsia="黑体" w:cs="宋体"/>
          <w:color w:val="auto"/>
          <w:szCs w:val="21"/>
        </w:rPr>
      </w:pPr>
    </w:p>
    <w:p>
      <w:pPr>
        <w:widowControl/>
        <w:jc w:val="left"/>
        <w:rPr>
          <w:rFonts w:hint="eastAsia" w:ascii="黑体" w:eastAsia="黑体" w:cs="宋体"/>
          <w:color w:val="auto"/>
          <w:szCs w:val="21"/>
        </w:rPr>
      </w:pPr>
    </w:p>
    <w:p>
      <w:pPr>
        <w:widowControl/>
        <w:jc w:val="left"/>
        <w:rPr>
          <w:rFonts w:hint="eastAsia" w:ascii="黑体" w:eastAsia="黑体" w:cs="宋体"/>
          <w:color w:val="auto"/>
          <w:szCs w:val="21"/>
        </w:rPr>
      </w:pPr>
    </w:p>
    <w:p>
      <w:pPr>
        <w:widowControl/>
        <w:jc w:val="left"/>
        <w:rPr>
          <w:rFonts w:hint="eastAsia" w:ascii="黑体" w:eastAsia="黑体" w:cs="宋体"/>
          <w:color w:val="auto"/>
          <w:szCs w:val="21"/>
        </w:rPr>
      </w:pPr>
    </w:p>
    <w:p>
      <w:pPr>
        <w:widowControl/>
        <w:jc w:val="left"/>
        <w:rPr>
          <w:rFonts w:hint="eastAsia" w:ascii="黑体" w:eastAsia="黑体" w:cs="宋体"/>
          <w:color w:val="auto"/>
          <w:szCs w:val="21"/>
        </w:rPr>
      </w:pPr>
    </w:p>
    <w:p>
      <w:pPr>
        <w:widowControl/>
        <w:jc w:val="left"/>
        <w:rPr>
          <w:rFonts w:hint="eastAsia" w:ascii="黑体" w:eastAsia="黑体" w:cs="宋体"/>
          <w:color w:val="auto"/>
          <w:szCs w:val="21"/>
        </w:rPr>
      </w:pPr>
    </w:p>
    <w:p>
      <w:pPr>
        <w:widowControl/>
        <w:jc w:val="left"/>
        <w:rPr>
          <w:rFonts w:hint="eastAsia" w:ascii="黑体" w:eastAsia="黑体" w:cs="宋体"/>
          <w:color w:val="auto"/>
          <w:szCs w:val="21"/>
        </w:rPr>
      </w:pPr>
    </w:p>
    <w:p>
      <w:pPr>
        <w:widowControl/>
        <w:jc w:val="left"/>
        <w:rPr>
          <w:rFonts w:hint="eastAsia" w:ascii="黑体" w:eastAsia="黑体" w:cs="宋体"/>
          <w:color w:val="auto"/>
          <w:szCs w:val="21"/>
        </w:rPr>
      </w:pPr>
    </w:p>
    <w:p>
      <w:pPr>
        <w:widowControl/>
        <w:jc w:val="left"/>
        <w:rPr>
          <w:rFonts w:hint="eastAsia" w:ascii="黑体" w:eastAsia="黑体" w:cs="宋体"/>
          <w:color w:val="auto"/>
          <w:szCs w:val="21"/>
        </w:rPr>
      </w:pPr>
    </w:p>
    <w:p>
      <w:pPr>
        <w:widowControl/>
        <w:jc w:val="left"/>
        <w:rPr>
          <w:rFonts w:hint="eastAsia" w:ascii="黑体" w:eastAsia="黑体" w:cs="宋体"/>
          <w:color w:val="auto"/>
          <w:szCs w:val="21"/>
        </w:rPr>
      </w:pPr>
    </w:p>
    <w:p>
      <w:pPr>
        <w:widowControl/>
        <w:jc w:val="left"/>
        <w:rPr>
          <w:rFonts w:hint="eastAsia" w:ascii="黑体" w:eastAsia="黑体" w:cs="宋体"/>
          <w:color w:val="auto"/>
          <w:szCs w:val="21"/>
        </w:rPr>
      </w:pPr>
    </w:p>
    <w:p>
      <w:pPr>
        <w:widowControl/>
        <w:jc w:val="left"/>
        <w:rPr>
          <w:rFonts w:hint="eastAsia" w:ascii="黑体" w:eastAsia="黑体" w:cs="宋体"/>
          <w:color w:val="auto"/>
          <w:szCs w:val="21"/>
        </w:rPr>
      </w:pPr>
    </w:p>
    <w:p>
      <w:pPr>
        <w:widowControl/>
        <w:jc w:val="left"/>
        <w:rPr>
          <w:rFonts w:hint="eastAsia" w:ascii="黑体" w:eastAsia="黑体" w:cs="宋体"/>
          <w:color w:val="auto"/>
          <w:szCs w:val="21"/>
        </w:rPr>
      </w:pPr>
    </w:p>
    <w:p>
      <w:pPr>
        <w:widowControl/>
        <w:jc w:val="left"/>
        <w:rPr>
          <w:rFonts w:hint="eastAsia" w:ascii="黑体" w:eastAsia="黑体" w:cs="宋体"/>
          <w:color w:val="auto"/>
          <w:szCs w:val="21"/>
        </w:rPr>
      </w:pPr>
    </w:p>
    <w:p>
      <w:pPr>
        <w:widowControl/>
        <w:jc w:val="left"/>
        <w:rPr>
          <w:rFonts w:hint="eastAsia" w:ascii="黑体" w:eastAsia="黑体" w:cs="宋体"/>
          <w:color w:val="auto"/>
          <w:szCs w:val="21"/>
        </w:rPr>
      </w:pPr>
    </w:p>
    <w:p>
      <w:pPr>
        <w:widowControl/>
        <w:jc w:val="left"/>
        <w:rPr>
          <w:rFonts w:hint="eastAsia" w:ascii="黑体" w:eastAsia="黑体" w:cs="宋体"/>
          <w:color w:val="auto"/>
          <w:szCs w:val="21"/>
        </w:rPr>
      </w:pPr>
    </w:p>
    <w:p>
      <w:pPr>
        <w:widowControl/>
        <w:jc w:val="left"/>
        <w:rPr>
          <w:rFonts w:hint="eastAsia" w:ascii="黑体" w:eastAsia="黑体" w:cs="宋体"/>
          <w:color w:val="auto"/>
          <w:szCs w:val="21"/>
        </w:rPr>
      </w:pPr>
    </w:p>
    <w:p>
      <w:pPr>
        <w:widowControl/>
        <w:jc w:val="left"/>
        <w:rPr>
          <w:rFonts w:hint="eastAsia" w:ascii="黑体" w:eastAsia="黑体" w:cs="宋体"/>
          <w:color w:val="auto"/>
          <w:szCs w:val="21"/>
        </w:rPr>
      </w:pPr>
    </w:p>
    <w:p>
      <w:pPr>
        <w:widowControl/>
        <w:jc w:val="left"/>
        <w:rPr>
          <w:rFonts w:hint="eastAsia" w:ascii="黑体" w:eastAsia="黑体" w:cs="宋体"/>
          <w:color w:val="auto"/>
          <w:szCs w:val="21"/>
        </w:rPr>
      </w:pPr>
    </w:p>
    <w:p>
      <w:pPr>
        <w:widowControl/>
        <w:jc w:val="left"/>
        <w:rPr>
          <w:rFonts w:hint="eastAsia" w:ascii="黑体" w:eastAsia="黑体" w:cs="宋体"/>
          <w:color w:val="auto"/>
          <w:szCs w:val="21"/>
        </w:rPr>
      </w:pPr>
    </w:p>
    <w:p>
      <w:pPr>
        <w:widowControl/>
        <w:jc w:val="left"/>
        <w:rPr>
          <w:rFonts w:hint="eastAsia" w:ascii="黑体" w:eastAsia="黑体" w:cs="宋体"/>
          <w:color w:val="auto"/>
          <w:szCs w:val="21"/>
        </w:rPr>
      </w:pPr>
    </w:p>
    <w:p>
      <w:pPr>
        <w:widowControl/>
        <w:jc w:val="left"/>
        <w:rPr>
          <w:rFonts w:hint="eastAsia" w:ascii="黑体" w:eastAsia="黑体" w:cs="宋体"/>
          <w:color w:val="auto"/>
          <w:szCs w:val="21"/>
        </w:rPr>
      </w:pPr>
    </w:p>
    <w:p>
      <w:pPr>
        <w:widowControl/>
        <w:jc w:val="left"/>
        <w:rPr>
          <w:rFonts w:hint="eastAsia" w:ascii="黑体" w:eastAsia="黑体" w:cs="宋体"/>
          <w:color w:val="auto"/>
          <w:szCs w:val="21"/>
        </w:rPr>
      </w:pPr>
    </w:p>
    <w:p>
      <w:pPr>
        <w:widowControl/>
        <w:jc w:val="left"/>
        <w:rPr>
          <w:rFonts w:ascii="黑体" w:eastAsia="黑体" w:cs="宋体"/>
          <w:color w:val="auto"/>
          <w:szCs w:val="21"/>
        </w:rPr>
        <w:sectPr>
          <w:headerReference r:id="rId3" w:type="default"/>
          <w:footerReference r:id="rId4" w:type="default"/>
          <w:pgSz w:w="11906" w:h="16838"/>
          <w:pgMar w:top="907" w:right="1797" w:bottom="1134" w:left="1797" w:header="510" w:footer="992" w:gutter="0"/>
          <w:cols w:space="720" w:num="1"/>
          <w:docGrid w:type="lines" w:linePitch="312" w:charSpace="0"/>
        </w:sectPr>
      </w:pPr>
      <w:r>
        <w:rPr>
          <w:rFonts w:hint="eastAsia" w:ascii="黑体" w:eastAsia="黑体" w:cs="宋体"/>
          <w:color w:val="auto"/>
          <w:szCs w:val="21"/>
        </w:rPr>
        <w:t>◆工业品</w:t>
      </w:r>
    </w:p>
    <w:p>
      <w:pPr>
        <w:rPr>
          <w:color w:val="auto"/>
          <w:szCs w:val="21"/>
        </w:rPr>
        <w:sectPr>
          <w:type w:val="continuous"/>
          <w:pgSz w:w="11906" w:h="16838"/>
          <w:pgMar w:top="1440" w:right="1797" w:bottom="1134" w:left="1797" w:header="851" w:footer="992" w:gutter="0"/>
          <w:cols w:space="720" w:num="1"/>
          <w:docGrid w:type="lines" w:linePitch="312" w:charSpace="0"/>
        </w:sectPr>
      </w:pPr>
    </w:p>
    <w:tbl>
      <w:tblPr>
        <w:tblStyle w:val="4"/>
        <w:tblW w:w="8994" w:type="dxa"/>
        <w:tblInd w:w="0" w:type="dxa"/>
        <w:tblLayout w:type="fixed"/>
        <w:tblCellMar>
          <w:top w:w="0" w:type="dxa"/>
          <w:left w:w="108" w:type="dxa"/>
          <w:bottom w:w="0" w:type="dxa"/>
          <w:right w:w="108" w:type="dxa"/>
        </w:tblCellMar>
      </w:tblPr>
      <w:tblGrid>
        <w:gridCol w:w="534"/>
        <w:gridCol w:w="6410"/>
        <w:gridCol w:w="2050"/>
      </w:tblGrid>
      <w:tr>
        <w:tblPrEx>
          <w:tblCellMar>
            <w:top w:w="0" w:type="dxa"/>
            <w:left w:w="108" w:type="dxa"/>
            <w:bottom w:w="0" w:type="dxa"/>
            <w:right w:w="108" w:type="dxa"/>
          </w:tblCellMar>
        </w:tblPrEx>
        <w:trPr>
          <w:cantSplit/>
          <w:trHeight w:val="480" w:hRule="atLeast"/>
        </w:trPr>
        <w:tc>
          <w:tcPr>
            <w:tcW w:w="534" w:type="dxa"/>
            <w:tcBorders>
              <w:top w:val="single" w:color="000000" w:sz="4" w:space="0"/>
              <w:left w:val="single" w:color="000000" w:sz="4" w:space="0"/>
              <w:bottom w:val="single" w:color="000000" w:sz="4" w:space="0"/>
              <w:right w:val="nil"/>
            </w:tcBorders>
          </w:tcPr>
          <w:p>
            <w:pPr>
              <w:widowControl/>
              <w:snapToGrid w:val="0"/>
              <w:jc w:val="left"/>
              <w:rPr>
                <w:rFonts w:ascii="宋体" w:hAnsi="宋体" w:cs="黑体"/>
                <w:color w:val="auto"/>
                <w:szCs w:val="21"/>
              </w:rPr>
            </w:pPr>
          </w:p>
        </w:tc>
        <w:tc>
          <w:tcPr>
            <w:tcW w:w="6410" w:type="dxa"/>
            <w:tcBorders>
              <w:top w:val="single" w:color="000000" w:sz="4" w:space="0"/>
              <w:left w:val="single" w:color="000000" w:sz="4" w:space="0"/>
              <w:bottom w:val="single" w:color="000000" w:sz="4" w:space="0"/>
              <w:right w:val="nil"/>
            </w:tcBorders>
            <w:vAlign w:val="center"/>
          </w:tcPr>
          <w:p>
            <w:pPr>
              <w:rPr>
                <w:rFonts w:ascii="宋体" w:hAnsi="宋体" w:cs="宋体"/>
                <w:b/>
                <w:color w:val="auto"/>
                <w:szCs w:val="21"/>
              </w:rPr>
            </w:pPr>
            <w:r>
              <w:rPr>
                <w:rFonts w:hint="eastAsia" w:ascii="宋体" w:hAnsi="宋体" w:cs="宋体"/>
                <w:b/>
                <w:color w:val="auto"/>
                <w:szCs w:val="21"/>
              </w:rPr>
              <w:t>内外盘综述</w:t>
            </w:r>
          </w:p>
        </w:tc>
        <w:tc>
          <w:tcPr>
            <w:tcW w:w="205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b/>
                <w:color w:val="auto"/>
                <w:szCs w:val="21"/>
              </w:rPr>
            </w:pPr>
            <w:r>
              <w:rPr>
                <w:rFonts w:hint="eastAsia" w:ascii="宋体" w:hAnsi="宋体" w:cs="宋体"/>
                <w:b/>
                <w:color w:val="auto"/>
                <w:szCs w:val="21"/>
              </w:rPr>
              <w:t>简评及操作策略</w:t>
            </w:r>
          </w:p>
        </w:tc>
      </w:tr>
      <w:tr>
        <w:tblPrEx>
          <w:tblCellMar>
            <w:top w:w="0" w:type="dxa"/>
            <w:left w:w="108" w:type="dxa"/>
            <w:bottom w:w="0" w:type="dxa"/>
            <w:right w:w="108" w:type="dxa"/>
          </w:tblCellMar>
        </w:tblPrEx>
        <w:trPr>
          <w:cantSplit/>
          <w:trHeight w:val="2181" w:hRule="atLeast"/>
        </w:trPr>
        <w:tc>
          <w:tcPr>
            <w:tcW w:w="534" w:type="dxa"/>
            <w:tcBorders>
              <w:top w:val="single" w:color="000000" w:sz="4" w:space="0"/>
              <w:left w:val="single" w:color="000000" w:sz="4" w:space="0"/>
              <w:bottom w:val="single" w:color="000000" w:sz="4" w:space="0"/>
              <w:right w:val="nil"/>
            </w:tcBorders>
            <w:vAlign w:val="top"/>
          </w:tcPr>
          <w:p>
            <w:pPr>
              <w:widowControl/>
              <w:snapToGrid w:val="0"/>
              <w:jc w:val="left"/>
              <w:rPr>
                <w:rFonts w:hint="default" w:ascii="宋体" w:hAnsi="宋体" w:eastAsia="宋体" w:cs="宋体"/>
                <w:b/>
                <w:color w:val="auto"/>
                <w:kern w:val="0"/>
                <w:sz w:val="21"/>
                <w:szCs w:val="21"/>
                <w:lang w:val="en-US" w:eastAsia="zh-CN" w:bidi="ar-SA"/>
              </w:rPr>
            </w:pPr>
            <w:r>
              <w:rPr>
                <w:rFonts w:hint="eastAsia" w:ascii="宋体" w:hAnsi="宋体" w:cs="宋体"/>
                <w:b/>
                <w:color w:val="auto"/>
                <w:kern w:val="0"/>
                <w:sz w:val="21"/>
                <w:szCs w:val="21"/>
                <w:lang w:val="en-US" w:eastAsia="zh-CN" w:bidi="ar-SA"/>
              </w:rPr>
              <w:t>PTA</w:t>
            </w:r>
          </w:p>
        </w:tc>
        <w:tc>
          <w:tcPr>
            <w:tcW w:w="6410" w:type="dxa"/>
            <w:tcBorders>
              <w:top w:val="single" w:color="000000" w:sz="4" w:space="0"/>
              <w:left w:val="single" w:color="000000" w:sz="4" w:space="0"/>
              <w:bottom w:val="single" w:color="000000" w:sz="4" w:space="0"/>
              <w:right w:val="nil"/>
            </w:tcBorders>
            <w:vAlign w:val="top"/>
          </w:tcPr>
          <w:p>
            <w:pPr>
              <w:ind w:firstLine="840" w:firstLineChars="400"/>
              <w:rPr>
                <w:rFonts w:hint="eastAsia" w:ascii="Times New Roman" w:hAnsi="Times New Roman" w:eastAsia="宋体" w:cs="Times New Roman"/>
                <w:color w:val="auto"/>
                <w:kern w:val="2"/>
                <w:sz w:val="21"/>
                <w:lang w:val="en-US" w:eastAsia="zh-CN" w:bidi="ar-SA"/>
              </w:rPr>
            </w:pPr>
            <w:r>
              <w:rPr>
                <w:rFonts w:hint="eastAsia"/>
                <w:color w:val="auto"/>
              </w:rPr>
              <w:t>虽然美国商业原油库存持续下降，但汽油需求出现放缓迹象、库存增幅高于预期， 国际油价下跌。PX CFR中国价格收跌至1260.67美元/吨，PTA现货价格6755元，PTA加工区间收涨至374.97元/吨聚酯大厂减产计划之下，PTA贸易结构开始转换。按照聚酯工厂公布的减产计划，整体减产规模预计由10%提高至30%，意味着进一步减产20%(420万吨产能)，7月份聚酯装置开工率预计下降3%。PTA由前期的去库预期转为累库，期现贸易商纷纷平仓正套头寸。现货端的供应压力也将有所提高。基差方面，当前基差维持在210元/吨附近，但成交清淡。贸易结构的恶化导致PTA短期趋势偏弱。</w:t>
            </w:r>
          </w:p>
        </w:tc>
        <w:tc>
          <w:tcPr>
            <w:tcW w:w="2050" w:type="dxa"/>
            <w:tcBorders>
              <w:top w:val="single" w:color="000000" w:sz="4" w:space="0"/>
              <w:left w:val="single" w:color="000000" w:sz="4" w:space="0"/>
              <w:bottom w:val="single" w:color="000000" w:sz="4" w:space="0"/>
              <w:right w:val="single" w:color="000000" w:sz="4" w:space="0"/>
            </w:tcBorders>
            <w:vAlign w:val="top"/>
          </w:tcPr>
          <w:p>
            <w:pPr>
              <w:widowControl/>
              <w:suppressAutoHyphens w:val="0"/>
              <w:jc w:val="left"/>
              <w:rPr>
                <w:rFonts w:hint="eastAsia"/>
                <w:b/>
                <w:color w:val="auto"/>
                <w:lang w:eastAsia="zh-CN"/>
              </w:rPr>
            </w:pPr>
            <w:r>
              <w:rPr>
                <w:rFonts w:hint="eastAsia"/>
                <w:b/>
                <w:color w:val="auto"/>
                <w:lang w:eastAsia="zh-CN"/>
              </w:rPr>
              <w:t>操作上，震荡偏弱对待，不杀跌，逢高背靠40日均线空单参与。</w:t>
            </w:r>
          </w:p>
          <w:p>
            <w:pPr>
              <w:widowControl/>
              <w:suppressAutoHyphens w:val="0"/>
              <w:jc w:val="left"/>
              <w:rPr>
                <w:rFonts w:hint="eastAsia"/>
                <w:b/>
                <w:color w:val="auto"/>
                <w:lang w:eastAsia="zh-CN"/>
              </w:rPr>
            </w:pPr>
          </w:p>
          <w:p>
            <w:pPr>
              <w:widowControl/>
              <w:suppressAutoHyphens w:val="0"/>
              <w:jc w:val="left"/>
              <w:rPr>
                <w:rFonts w:hint="eastAsia" w:ascii="Times New Roman" w:hAnsi="Times New Roman" w:eastAsia="宋体" w:cs="Times New Roman"/>
                <w:b/>
                <w:color w:val="auto"/>
                <w:kern w:val="2"/>
                <w:sz w:val="21"/>
                <w:lang w:val="en-US" w:eastAsia="zh-CN" w:bidi="ar-SA"/>
              </w:rPr>
            </w:pPr>
            <w:r>
              <w:rPr>
                <w:rFonts w:hint="eastAsia"/>
                <w:b/>
                <w:color w:val="auto"/>
                <w:lang w:eastAsia="zh-CN"/>
              </w:rPr>
              <w:t>（</w:t>
            </w:r>
            <w:r>
              <w:rPr>
                <w:rFonts w:hint="eastAsia"/>
                <w:b/>
                <w:color w:val="auto"/>
                <w:lang w:val="en-US" w:eastAsia="zh-CN"/>
              </w:rPr>
              <w:t>苗玲</w:t>
            </w:r>
            <w:r>
              <w:rPr>
                <w:rFonts w:hint="eastAsia"/>
                <w:b/>
                <w:color w:val="auto"/>
                <w:lang w:eastAsia="zh-CN"/>
              </w:rPr>
              <w:t>）</w:t>
            </w:r>
          </w:p>
        </w:tc>
      </w:tr>
      <w:tr>
        <w:tblPrEx>
          <w:tblCellMar>
            <w:top w:w="0" w:type="dxa"/>
            <w:left w:w="108" w:type="dxa"/>
            <w:bottom w:w="0" w:type="dxa"/>
            <w:right w:w="108" w:type="dxa"/>
          </w:tblCellMar>
        </w:tblPrEx>
        <w:trPr>
          <w:cantSplit/>
          <w:trHeight w:val="2181" w:hRule="atLeast"/>
        </w:trPr>
        <w:tc>
          <w:tcPr>
            <w:tcW w:w="534" w:type="dxa"/>
            <w:tcBorders>
              <w:top w:val="single" w:color="000000" w:sz="4" w:space="0"/>
              <w:left w:val="single" w:color="000000" w:sz="4" w:space="0"/>
              <w:bottom w:val="single" w:color="000000" w:sz="4" w:space="0"/>
              <w:right w:val="nil"/>
            </w:tcBorders>
          </w:tcPr>
          <w:p>
            <w:pPr>
              <w:widowControl/>
              <w:jc w:val="left"/>
              <w:rPr>
                <w:rFonts w:hint="default" w:ascii="宋体" w:hAnsi="宋体" w:cs="宋体"/>
                <w:b/>
                <w:color w:val="auto"/>
                <w:kern w:val="0"/>
                <w:szCs w:val="21"/>
                <w:lang w:val="en-US" w:eastAsia="zh-CN"/>
              </w:rPr>
            </w:pPr>
            <w:r>
              <w:rPr>
                <w:rFonts w:hint="eastAsia" w:ascii="宋体" w:hAnsi="宋体" w:cs="宋体"/>
                <w:b/>
                <w:color w:val="auto"/>
                <w:kern w:val="0"/>
                <w:szCs w:val="21"/>
                <w:lang w:val="en-US" w:eastAsia="zh-CN"/>
              </w:rPr>
              <w:t>钢材</w:t>
            </w:r>
          </w:p>
        </w:tc>
        <w:tc>
          <w:tcPr>
            <w:tcW w:w="6410" w:type="dxa"/>
            <w:tcBorders>
              <w:top w:val="single" w:color="000000" w:sz="4" w:space="0"/>
              <w:left w:val="single" w:color="000000" w:sz="4" w:space="0"/>
              <w:bottom w:val="single" w:color="000000" w:sz="4" w:space="0"/>
              <w:right w:val="nil"/>
            </w:tcBorders>
          </w:tcPr>
          <w:p>
            <w:pPr>
              <w:widowControl/>
              <w:suppressAutoHyphens w:val="0"/>
              <w:ind w:firstLine="630" w:firstLineChars="300"/>
              <w:jc w:val="left"/>
              <w:rPr>
                <w:rFonts w:hint="eastAsia"/>
                <w:color w:val="auto"/>
              </w:rPr>
            </w:pPr>
            <w:r>
              <w:rPr>
                <w:rFonts w:hint="eastAsia"/>
                <w:color w:val="auto"/>
              </w:rPr>
              <w:t>钢材价格周三震荡走势，螺纹2210合约收于4399，热卷2210合约收于4425。现货方面，29日唐山普方坯出厂价报4040（+30），上海地区螺纹钢现货价格(HRB400 20mm)4350元（+50），热卷现货价格(4.75mm)4400元（平）。</w:t>
            </w:r>
          </w:p>
          <w:p>
            <w:pPr>
              <w:widowControl/>
              <w:suppressAutoHyphens w:val="0"/>
              <w:ind w:firstLine="630" w:firstLineChars="300"/>
              <w:jc w:val="left"/>
              <w:rPr>
                <w:rFonts w:hint="eastAsia"/>
                <w:color w:val="auto"/>
              </w:rPr>
            </w:pPr>
            <w:r>
              <w:rPr>
                <w:rFonts w:hint="eastAsia"/>
                <w:color w:val="auto"/>
              </w:rPr>
              <w:t>唐山印发《唐山市“十四五”时期“无废城市”建设工作方案》指出，严格执行钢铁、水泥、平板玻璃、焦化等行业产能置换规定，严禁新增产能。</w:t>
            </w:r>
          </w:p>
          <w:p>
            <w:pPr>
              <w:widowControl/>
              <w:suppressAutoHyphens w:val="0"/>
              <w:ind w:firstLine="630" w:firstLineChars="300"/>
              <w:jc w:val="left"/>
              <w:rPr>
                <w:rFonts w:hint="eastAsia"/>
                <w:color w:val="auto"/>
              </w:rPr>
            </w:pPr>
            <w:r>
              <w:rPr>
                <w:rFonts w:hint="eastAsia"/>
                <w:color w:val="auto"/>
              </w:rPr>
              <w:t>近日，宁波、武汉、苏州等地第二轮土地出让收官。从土拍结果看，这些地区第二轮土拍成交较首轮出现较为明显的回温，主要体现在流拍率下降、部分优质地块成交火爆，带动整体溢价率有所抬升。</w:t>
            </w:r>
          </w:p>
          <w:p>
            <w:pPr>
              <w:widowControl/>
              <w:suppressAutoHyphens w:val="0"/>
              <w:ind w:firstLine="630" w:firstLineChars="300"/>
              <w:jc w:val="left"/>
              <w:rPr>
                <w:rFonts w:hint="eastAsia"/>
                <w:color w:val="auto"/>
              </w:rPr>
            </w:pPr>
            <w:r>
              <w:rPr>
                <w:rFonts w:hint="eastAsia"/>
                <w:color w:val="auto"/>
              </w:rPr>
              <w:t>据Mysteel统计，本周唐山地区主流样本钢厂平均铁水不含税成本为3388元/吨，平均钢坯含税成本4347元/吨，周环比上调13元/吨，与6月29日当前普方坯出厂价格4040元/吨相比，钢厂平均毛利润亏损307元/吨。</w:t>
            </w:r>
          </w:p>
          <w:p>
            <w:pPr>
              <w:widowControl/>
              <w:suppressAutoHyphens w:val="0"/>
              <w:ind w:firstLine="630" w:firstLineChars="300"/>
              <w:jc w:val="left"/>
              <w:rPr>
                <w:rFonts w:hint="eastAsia"/>
                <w:color w:val="auto"/>
              </w:rPr>
            </w:pPr>
            <w:r>
              <w:rPr>
                <w:rFonts w:hint="eastAsia"/>
                <w:color w:val="auto"/>
              </w:rPr>
              <w:t>6月15日至6月29日，全国样本企业共有30座在检高炉，累计容积30740m³，铁水日产量减少9.01万吨；共有22座在检电炉，粗钢日产量减少5.66万吨。</w:t>
            </w:r>
          </w:p>
          <w:p>
            <w:pPr>
              <w:widowControl/>
              <w:suppressAutoHyphens w:val="0"/>
              <w:ind w:firstLine="630" w:firstLineChars="300"/>
              <w:jc w:val="left"/>
              <w:rPr>
                <w:rFonts w:hint="eastAsia" w:eastAsia="宋体"/>
                <w:color w:val="auto"/>
                <w:lang w:val="en-US" w:eastAsia="zh-CN"/>
              </w:rPr>
            </w:pPr>
            <w:r>
              <w:rPr>
                <w:rFonts w:hint="eastAsia"/>
                <w:color w:val="auto"/>
              </w:rPr>
              <w:t>国家修改防疫标准，取消行程码挂星，房企给出短期市场已触底的判断，经过6月的恢复，上海经济逐渐返回常态，宏观层面逐渐转向情绪稳定，内需型的钢材走势经历大跌后逐步走稳，筑底反弹。供应端由于当前钢厂利润的低迷，各地长流程检修逐渐增多，短流程电炉开工率持续维持低位，长周期看下半年由于国家粗钢的压产政策，钢厂的产量重心预计也将较上半年有所降低。</w:t>
            </w:r>
          </w:p>
        </w:tc>
        <w:tc>
          <w:tcPr>
            <w:tcW w:w="2050" w:type="dxa"/>
            <w:tcBorders>
              <w:top w:val="single" w:color="000000" w:sz="4" w:space="0"/>
              <w:left w:val="single" w:color="000000" w:sz="4" w:space="0"/>
              <w:bottom w:val="single" w:color="000000" w:sz="4" w:space="0"/>
              <w:right w:val="single" w:color="000000" w:sz="4" w:space="0"/>
            </w:tcBorders>
          </w:tcPr>
          <w:p>
            <w:pPr>
              <w:rPr>
                <w:rFonts w:hint="eastAsia"/>
                <w:b/>
                <w:color w:val="auto"/>
                <w:lang w:eastAsia="zh-CN"/>
              </w:rPr>
            </w:pPr>
            <w:r>
              <w:rPr>
                <w:rFonts w:hint="eastAsia"/>
                <w:b/>
                <w:color w:val="auto"/>
                <w:lang w:eastAsia="zh-CN"/>
              </w:rPr>
              <w:t>当前行情仍以大跌后的反弹观点对待，淡季的需求端难有快速改善，关注后续压产情况，观望为主。</w:t>
            </w:r>
          </w:p>
          <w:p>
            <w:pPr>
              <w:rPr>
                <w:rFonts w:hint="eastAsia"/>
                <w:b/>
                <w:color w:val="auto"/>
                <w:lang w:eastAsia="zh-CN"/>
              </w:rPr>
            </w:pPr>
          </w:p>
          <w:p>
            <w:pPr>
              <w:rPr>
                <w:b/>
                <w:color w:val="auto"/>
                <w:lang w:eastAsia="zh-CN"/>
              </w:rPr>
            </w:pPr>
            <w:r>
              <w:rPr>
                <w:rFonts w:hint="eastAsia"/>
                <w:b/>
                <w:color w:val="auto"/>
                <w:lang w:eastAsia="zh-CN"/>
              </w:rPr>
              <w:t>(黄</w:t>
            </w:r>
            <w:r>
              <w:rPr>
                <w:rFonts w:hint="eastAsia"/>
                <w:b/>
                <w:color w:val="auto"/>
                <w:lang w:eastAsia="zh-CN"/>
              </w:rPr>
              <w:t>天罡)</w:t>
            </w:r>
          </w:p>
        </w:tc>
      </w:tr>
      <w:tr>
        <w:tblPrEx>
          <w:tblCellMar>
            <w:top w:w="0" w:type="dxa"/>
            <w:left w:w="108" w:type="dxa"/>
            <w:bottom w:w="0" w:type="dxa"/>
            <w:right w:w="108" w:type="dxa"/>
          </w:tblCellMar>
        </w:tblPrEx>
        <w:trPr>
          <w:cantSplit/>
          <w:trHeight w:val="2181" w:hRule="atLeast"/>
        </w:trPr>
        <w:tc>
          <w:tcPr>
            <w:tcW w:w="534" w:type="dxa"/>
            <w:tcBorders>
              <w:top w:val="single" w:color="000000" w:sz="4" w:space="0"/>
              <w:left w:val="single" w:color="000000" w:sz="4" w:space="0"/>
              <w:bottom w:val="single" w:color="000000" w:sz="4" w:space="0"/>
              <w:right w:val="nil"/>
            </w:tcBorders>
          </w:tcPr>
          <w:p>
            <w:pPr>
              <w:widowControl/>
              <w:jc w:val="left"/>
              <w:rPr>
                <w:rFonts w:ascii="宋体" w:hAnsi="宋体" w:cs="宋体"/>
                <w:b/>
                <w:color w:val="auto"/>
                <w:kern w:val="0"/>
                <w:szCs w:val="21"/>
                <w:lang w:eastAsia="zh-CN"/>
              </w:rPr>
            </w:pPr>
            <w:r>
              <w:rPr>
                <w:rFonts w:hint="eastAsia" w:ascii="宋体" w:hAnsi="宋体" w:cs="宋体"/>
                <w:b/>
                <w:color w:val="auto"/>
                <w:kern w:val="0"/>
                <w:szCs w:val="21"/>
                <w:lang w:eastAsia="zh-CN"/>
              </w:rPr>
              <w:t>铁矿石</w:t>
            </w:r>
          </w:p>
        </w:tc>
        <w:tc>
          <w:tcPr>
            <w:tcW w:w="6410" w:type="dxa"/>
            <w:tcBorders>
              <w:top w:val="single" w:color="000000" w:sz="4" w:space="0"/>
              <w:left w:val="single" w:color="000000" w:sz="4" w:space="0"/>
              <w:bottom w:val="single" w:color="000000" w:sz="4" w:space="0"/>
              <w:right w:val="nil"/>
            </w:tcBorders>
          </w:tcPr>
          <w:p>
            <w:pPr>
              <w:widowControl/>
              <w:suppressAutoHyphens w:val="0"/>
              <w:jc w:val="left"/>
              <w:rPr>
                <w:rFonts w:hint="eastAsia"/>
                <w:color w:val="auto"/>
                <w:lang w:val="en-US" w:eastAsia="zh-CN"/>
              </w:rPr>
            </w:pPr>
            <w:r>
              <w:rPr>
                <w:rFonts w:hint="eastAsia"/>
                <w:color w:val="auto"/>
                <w:lang w:val="en-US" w:eastAsia="zh-CN"/>
              </w:rPr>
              <w:t xml:space="preserve">     昨日进口铁矿港口现货全天价格下跌0-11。现青岛港PB粉865跌2，超特粉730跌3；曹妃甸港PB粉870平，超特粉737跌11；天津港PB粉875跌5，超特粉735跌9；江内港PB粉885跌2，超特粉750跌10；鲅鱼圈港PB粉903跌2；防城港港PB粉870。</w:t>
            </w:r>
          </w:p>
          <w:p>
            <w:pPr>
              <w:widowControl/>
              <w:suppressAutoHyphens w:val="0"/>
              <w:jc w:val="left"/>
              <w:rPr>
                <w:rFonts w:hint="eastAsia"/>
                <w:color w:val="auto"/>
                <w:lang w:val="en-US" w:eastAsia="zh-CN"/>
              </w:rPr>
            </w:pPr>
            <w:r>
              <w:rPr>
                <w:rFonts w:hint="eastAsia"/>
                <w:color w:val="auto"/>
                <w:lang w:val="en-US" w:eastAsia="zh-CN"/>
              </w:rPr>
              <w:t xml:space="preserve">     唐山印发《唐山市“十四五”时期“无废城市”建设工作方案》指出，严格执行钢铁、水泥、平板玻璃、焦化等行业产能置换规定，严禁新增产能。</w:t>
            </w:r>
          </w:p>
          <w:p>
            <w:pPr>
              <w:widowControl/>
              <w:suppressAutoHyphens w:val="0"/>
              <w:jc w:val="left"/>
              <w:rPr>
                <w:rFonts w:hint="default" w:eastAsia="宋体"/>
                <w:color w:val="auto"/>
                <w:lang w:val="en-US" w:eastAsia="zh-CN"/>
              </w:rPr>
            </w:pPr>
            <w:r>
              <w:rPr>
                <w:rFonts w:hint="eastAsia"/>
                <w:color w:val="auto"/>
                <w:lang w:val="en-US" w:eastAsia="zh-CN"/>
              </w:rPr>
              <w:t xml:space="preserve">      近期市场在弱需求传导至成材减产的负反馈下快速杀跌后，悲观情绪大幅释放，而钢厂减产幅度不及预期，矿石价格低位反弹修复，反弹持续度有限，上方要来自于终端需求的疲弱和钢铁利润的低位。</w:t>
            </w:r>
          </w:p>
        </w:tc>
        <w:tc>
          <w:tcPr>
            <w:tcW w:w="2050" w:type="dxa"/>
            <w:tcBorders>
              <w:top w:val="single" w:color="000000" w:sz="4" w:space="0"/>
              <w:left w:val="single" w:color="000000" w:sz="4" w:space="0"/>
              <w:bottom w:val="single" w:color="000000" w:sz="4" w:space="0"/>
              <w:right w:val="single" w:color="000000" w:sz="4" w:space="0"/>
            </w:tcBorders>
          </w:tcPr>
          <w:p>
            <w:pPr>
              <w:rPr>
                <w:rFonts w:hint="eastAsia"/>
                <w:b/>
                <w:color w:val="auto"/>
                <w:lang w:eastAsia="zh-CN"/>
              </w:rPr>
            </w:pPr>
            <w:r>
              <w:rPr>
                <w:rFonts w:hint="eastAsia"/>
                <w:b/>
                <w:color w:val="auto"/>
                <w:lang w:eastAsia="zh-CN"/>
              </w:rPr>
              <w:t>短线或波段交易为主。</w:t>
            </w:r>
          </w:p>
          <w:p>
            <w:pPr>
              <w:rPr>
                <w:rFonts w:hint="eastAsia"/>
                <w:b/>
                <w:color w:val="auto"/>
                <w:lang w:eastAsia="zh-CN"/>
              </w:rPr>
            </w:pPr>
          </w:p>
          <w:p>
            <w:pPr>
              <w:rPr>
                <w:rFonts w:hint="eastAsia"/>
                <w:b/>
                <w:color w:val="auto"/>
                <w:lang w:eastAsia="zh-CN"/>
              </w:rPr>
            </w:pPr>
            <w:r>
              <w:rPr>
                <w:rFonts w:hint="eastAsia"/>
                <w:b/>
                <w:color w:val="auto"/>
                <w:lang w:eastAsia="zh-CN"/>
              </w:rPr>
              <w:t>(杨俊林</w:t>
            </w:r>
            <w:r>
              <w:rPr>
                <w:rFonts w:hint="eastAsia"/>
                <w:b/>
                <w:color w:val="auto"/>
                <w:lang w:eastAsia="zh-CN"/>
              </w:rPr>
              <w:t>)</w:t>
            </w:r>
          </w:p>
          <w:p>
            <w:pPr>
              <w:rPr>
                <w:rFonts w:hint="eastAsia"/>
                <w:b/>
                <w:color w:val="auto"/>
                <w:lang w:eastAsia="zh-CN"/>
              </w:rPr>
            </w:pPr>
          </w:p>
        </w:tc>
      </w:tr>
      <w:tr>
        <w:tblPrEx>
          <w:tblCellMar>
            <w:top w:w="0" w:type="dxa"/>
            <w:left w:w="108" w:type="dxa"/>
            <w:bottom w:w="0" w:type="dxa"/>
            <w:right w:w="108" w:type="dxa"/>
          </w:tblCellMar>
        </w:tblPrEx>
        <w:trPr>
          <w:cantSplit/>
          <w:trHeight w:val="4922" w:hRule="atLeast"/>
        </w:trPr>
        <w:tc>
          <w:tcPr>
            <w:tcW w:w="534" w:type="dxa"/>
            <w:tcBorders>
              <w:top w:val="single" w:color="000000" w:sz="4" w:space="0"/>
              <w:left w:val="single" w:color="000000" w:sz="4" w:space="0"/>
              <w:bottom w:val="single" w:color="000000" w:sz="4" w:space="0"/>
              <w:right w:val="nil"/>
            </w:tcBorders>
          </w:tcPr>
          <w:p>
            <w:pPr>
              <w:widowControl/>
              <w:jc w:val="left"/>
              <w:rPr>
                <w:rFonts w:ascii="宋体" w:hAnsi="宋体" w:cs="宋体"/>
                <w:b/>
                <w:color w:val="auto"/>
                <w:kern w:val="0"/>
                <w:szCs w:val="21"/>
                <w:lang w:eastAsia="zh-CN"/>
              </w:rPr>
            </w:pPr>
            <w:r>
              <w:rPr>
                <w:rFonts w:hint="eastAsia" w:ascii="宋体" w:hAnsi="宋体" w:cs="宋体"/>
                <w:b/>
                <w:color w:val="auto"/>
                <w:kern w:val="0"/>
                <w:szCs w:val="21"/>
                <w:lang w:eastAsia="zh-CN"/>
              </w:rPr>
              <w:t>煤焦</w:t>
            </w:r>
          </w:p>
        </w:tc>
        <w:tc>
          <w:tcPr>
            <w:tcW w:w="6410" w:type="dxa"/>
            <w:tcBorders>
              <w:top w:val="single" w:color="000000" w:sz="4" w:space="0"/>
              <w:left w:val="single" w:color="000000" w:sz="4" w:space="0"/>
              <w:bottom w:val="single" w:color="000000" w:sz="4" w:space="0"/>
              <w:right w:val="nil"/>
            </w:tcBorders>
          </w:tcPr>
          <w:p>
            <w:pPr>
              <w:widowControl/>
              <w:suppressAutoHyphens w:val="0"/>
              <w:ind w:firstLine="630" w:firstLineChars="300"/>
              <w:jc w:val="left"/>
              <w:rPr>
                <w:rFonts w:hint="eastAsia"/>
                <w:color w:val="auto"/>
              </w:rPr>
            </w:pPr>
            <w:r>
              <w:rPr>
                <w:rFonts w:hint="eastAsia"/>
                <w:color w:val="auto"/>
              </w:rPr>
              <w:t>现货市场，双焦价格弱稳。山西介休1.3硫主焦2500元/吨，蒙5金泉提货价2450元/吨，加拿大主焦到港价430美元/吨；吕梁准一出厂价2950元/吨，唐山二级焦到厂价3050元/吨，青岛港准一焦平仓价3200元/吨。</w:t>
            </w:r>
          </w:p>
          <w:p>
            <w:pPr>
              <w:widowControl/>
              <w:suppressAutoHyphens w:val="0"/>
              <w:ind w:firstLine="630" w:firstLineChars="300"/>
              <w:jc w:val="left"/>
              <w:rPr>
                <w:rFonts w:hint="eastAsia"/>
                <w:color w:val="auto"/>
              </w:rPr>
            </w:pPr>
            <w:r>
              <w:rPr>
                <w:rFonts w:hint="eastAsia"/>
                <w:color w:val="auto"/>
              </w:rPr>
              <w:t>各地产销，部分焦企开始小单采购，炼焦煤市场情绪有所好转；焦企开工意愿依然偏弱，焦企利润还是处于亏损状态，生产积极性差，中西部地区焦企有20-30%左右的限产。钢厂方面，钢厂仍在控制原料到货节奏，以按需采购为主。</w:t>
            </w:r>
          </w:p>
          <w:p>
            <w:pPr>
              <w:widowControl/>
              <w:suppressAutoHyphens w:val="0"/>
              <w:ind w:firstLine="630" w:firstLineChars="300"/>
              <w:jc w:val="left"/>
              <w:rPr>
                <w:rFonts w:hint="eastAsia"/>
                <w:color w:val="auto"/>
              </w:rPr>
            </w:pPr>
            <w:r>
              <w:rPr>
                <w:rFonts w:hint="eastAsia"/>
                <w:color w:val="auto"/>
              </w:rPr>
              <w:t>据Mysteel不完全统计，6月15日至6月29日，全国样本企业共有30座在检高炉，累计容积30740m³，铁水日产量减少9.01万吨；共有22座在检电炉，粗钢日产量减少5.66万吨。</w:t>
            </w:r>
          </w:p>
          <w:p>
            <w:pPr>
              <w:widowControl/>
              <w:suppressAutoHyphens w:val="0"/>
              <w:ind w:firstLine="630" w:firstLineChars="300"/>
              <w:jc w:val="left"/>
              <w:rPr>
                <w:rFonts w:hint="eastAsia" w:eastAsia="宋体"/>
                <w:color w:val="auto"/>
                <w:lang w:val="en-US" w:eastAsia="zh-CN"/>
              </w:rPr>
            </w:pPr>
            <w:r>
              <w:rPr>
                <w:rFonts w:hint="eastAsia"/>
                <w:color w:val="auto"/>
              </w:rPr>
              <w:t>现货端，上周钢厂、焦企、煤矿均有减产，边际供求改善、短期盘面下挫空间受限，同时现货抗跌也增强盘面低位修复贴水的力度，如焦炭第二轮提降未能落地，则盘面仍有对照现货价格水平反弹修复的空间。不过上周成材库存持平略涨，钢厂减产力度仍显不足，价格承压抑制供应的状态尚难打破，价格反弹的趋势性不乐观，未来关注终端需求强弱，能否从需求端带动成材供求的改善。</w:t>
            </w:r>
          </w:p>
        </w:tc>
        <w:tc>
          <w:tcPr>
            <w:tcW w:w="2050" w:type="dxa"/>
            <w:tcBorders>
              <w:top w:val="single" w:color="000000" w:sz="4" w:space="0"/>
              <w:left w:val="single" w:color="000000" w:sz="4" w:space="0"/>
              <w:bottom w:val="single" w:color="000000" w:sz="4" w:space="0"/>
              <w:right w:val="single" w:color="000000" w:sz="4" w:space="0"/>
            </w:tcBorders>
          </w:tcPr>
          <w:p>
            <w:pPr>
              <w:rPr>
                <w:rFonts w:hint="eastAsia"/>
                <w:b/>
                <w:color w:val="auto"/>
                <w:lang w:eastAsia="zh-CN"/>
              </w:rPr>
            </w:pPr>
            <w:r>
              <w:rPr>
                <w:rFonts w:hint="eastAsia"/>
                <w:b/>
                <w:color w:val="auto"/>
                <w:lang w:eastAsia="zh-CN"/>
              </w:rPr>
              <w:t>操作上，暂时观望。</w:t>
            </w:r>
          </w:p>
          <w:p>
            <w:pPr>
              <w:rPr>
                <w:rFonts w:hint="eastAsia"/>
                <w:b/>
                <w:color w:val="auto"/>
                <w:lang w:eastAsia="zh-CN"/>
              </w:rPr>
            </w:pPr>
          </w:p>
          <w:p>
            <w:pPr>
              <w:rPr>
                <w:b/>
                <w:color w:val="auto"/>
                <w:lang w:eastAsia="zh-CN"/>
              </w:rPr>
            </w:pPr>
            <w:r>
              <w:rPr>
                <w:rFonts w:hint="eastAsia"/>
                <w:b/>
                <w:color w:val="auto"/>
                <w:lang w:eastAsia="zh-CN"/>
              </w:rPr>
              <w:t>（</w:t>
            </w:r>
            <w:r>
              <w:rPr>
                <w:rFonts w:hint="eastAsia"/>
                <w:b/>
                <w:color w:val="auto"/>
                <w:lang w:eastAsia="zh-CN"/>
              </w:rPr>
              <w:t>李岩</w:t>
            </w:r>
            <w:r>
              <w:rPr>
                <w:rFonts w:hint="eastAsia"/>
                <w:b/>
                <w:color w:val="auto"/>
                <w:lang w:eastAsia="zh-CN"/>
              </w:rPr>
              <w:t>）</w:t>
            </w:r>
          </w:p>
        </w:tc>
      </w:tr>
      <w:tr>
        <w:tblPrEx>
          <w:tblCellMar>
            <w:top w:w="0" w:type="dxa"/>
            <w:left w:w="108" w:type="dxa"/>
            <w:bottom w:w="0" w:type="dxa"/>
            <w:right w:w="108" w:type="dxa"/>
          </w:tblCellMar>
        </w:tblPrEx>
        <w:trPr>
          <w:cantSplit/>
          <w:trHeight w:val="934" w:hRule="atLeast"/>
        </w:trPr>
        <w:tc>
          <w:tcPr>
            <w:tcW w:w="534" w:type="dxa"/>
            <w:tcBorders>
              <w:top w:val="single" w:color="000000" w:sz="4" w:space="0"/>
              <w:left w:val="single" w:color="000000" w:sz="4" w:space="0"/>
              <w:bottom w:val="single" w:color="000000" w:sz="4" w:space="0"/>
              <w:right w:val="nil"/>
            </w:tcBorders>
          </w:tcPr>
          <w:p>
            <w:pPr>
              <w:widowControl/>
              <w:jc w:val="left"/>
              <w:rPr>
                <w:rFonts w:ascii="宋体" w:hAnsi="宋体" w:cs="宋体"/>
                <w:b/>
                <w:color w:val="auto"/>
                <w:kern w:val="0"/>
                <w:szCs w:val="21"/>
                <w:lang w:eastAsia="zh-CN"/>
              </w:rPr>
            </w:pPr>
            <w:r>
              <w:rPr>
                <w:rFonts w:hint="eastAsia" w:ascii="宋体" w:hAnsi="宋体" w:cs="宋体"/>
                <w:b/>
                <w:color w:val="auto"/>
                <w:kern w:val="0"/>
                <w:szCs w:val="21"/>
                <w:lang w:eastAsia="zh-CN"/>
              </w:rPr>
              <w:t>铝</w:t>
            </w:r>
          </w:p>
        </w:tc>
        <w:tc>
          <w:tcPr>
            <w:tcW w:w="6410" w:type="dxa"/>
            <w:tcBorders>
              <w:top w:val="single" w:color="000000" w:sz="4" w:space="0"/>
              <w:left w:val="single" w:color="000000" w:sz="4" w:space="0"/>
              <w:bottom w:val="single" w:color="000000" w:sz="4" w:space="0"/>
              <w:right w:val="nil"/>
            </w:tcBorders>
          </w:tcPr>
          <w:p>
            <w:pPr>
              <w:widowControl/>
              <w:suppressAutoHyphens w:val="0"/>
              <w:ind w:firstLine="630" w:firstLineChars="300"/>
              <w:jc w:val="left"/>
              <w:rPr>
                <w:rFonts w:hint="eastAsia"/>
                <w:color w:val="auto"/>
                <w:lang w:val="en-US" w:eastAsia="zh-CN"/>
              </w:rPr>
            </w:pPr>
            <w:r>
              <w:rPr>
                <w:rFonts w:hint="eastAsia"/>
                <w:color w:val="auto"/>
                <w:lang w:val="en-US" w:eastAsia="zh-CN"/>
              </w:rPr>
              <w:t>昨日沪铝走势震荡，沪铝主力月2208合约收至19280元/吨，涨20元，涨幅0.10%。现货方面，29日长江现货成交价格19350-19390元/吨，涨110元，贴水30-升水10；广东现货19290-19350元/吨，涨60元，贴水90-贴水30；华通报19400-19440元/吨，涨110元。年中加上月底持货商回笼资金意愿更强，接货方对后市看衰，采购积极性更差，成交差强人意。</w:t>
            </w:r>
          </w:p>
          <w:p>
            <w:pPr>
              <w:widowControl/>
              <w:suppressAutoHyphens w:val="0"/>
              <w:ind w:firstLine="630" w:firstLineChars="300"/>
              <w:jc w:val="left"/>
              <w:rPr>
                <w:rFonts w:hint="eastAsia"/>
                <w:color w:val="auto"/>
                <w:lang w:val="en-US" w:eastAsia="zh-CN"/>
              </w:rPr>
            </w:pPr>
            <w:r>
              <w:rPr>
                <w:rFonts w:hint="eastAsia"/>
                <w:color w:val="auto"/>
                <w:lang w:val="en-US" w:eastAsia="zh-CN"/>
              </w:rPr>
              <w:t>SMM讯，山东某大型铝厂下调7月份预焙阳极采购基准价格，结束今年单边上涨行情，环比下跌280元/吨，现汇价格7265元/吨，承兑价格7300元/吨。</w:t>
            </w:r>
          </w:p>
          <w:p>
            <w:pPr>
              <w:widowControl/>
              <w:suppressAutoHyphens w:val="0"/>
              <w:ind w:firstLine="630" w:firstLineChars="300"/>
              <w:jc w:val="left"/>
              <w:rPr>
                <w:color w:val="auto"/>
              </w:rPr>
            </w:pPr>
            <w:r>
              <w:rPr>
                <w:rFonts w:hint="eastAsia"/>
                <w:color w:val="auto"/>
                <w:lang w:val="en-US" w:eastAsia="zh-CN"/>
              </w:rPr>
              <w:t>俄欧关系持续恶化，欧洲天然气价格飙升，欧洲铝企减产忧虑升温。国内运行产能稳步抬升，部分产能出现亏损，产量继续释放。下游需求暂无明显好转，部分地区出现高温天气，开工略受影响。近日宏观压力有所缓和，铝价触底反弹，但现货交易相对疲软，且临近需求淡季，下行压力仍限制涨幅。</w:t>
            </w:r>
          </w:p>
        </w:tc>
        <w:tc>
          <w:tcPr>
            <w:tcW w:w="2050" w:type="dxa"/>
            <w:tcBorders>
              <w:top w:val="single" w:color="000000" w:sz="4" w:space="0"/>
              <w:left w:val="single" w:color="000000" w:sz="4" w:space="0"/>
              <w:bottom w:val="single" w:color="000000" w:sz="4" w:space="0"/>
              <w:right w:val="single" w:color="000000" w:sz="4" w:space="0"/>
            </w:tcBorders>
          </w:tcPr>
          <w:p>
            <w:pPr>
              <w:rPr>
                <w:rFonts w:hint="eastAsia"/>
                <w:b/>
                <w:color w:val="auto"/>
                <w:lang w:eastAsia="zh-CN"/>
              </w:rPr>
            </w:pPr>
            <w:r>
              <w:rPr>
                <w:rFonts w:hint="eastAsia"/>
                <w:b/>
                <w:color w:val="auto"/>
                <w:lang w:eastAsia="zh-CN"/>
              </w:rPr>
              <w:t>操作上观望或震荡思路对待，关注下游消费兑现情况。</w:t>
            </w:r>
          </w:p>
          <w:p>
            <w:pPr>
              <w:rPr>
                <w:rFonts w:hint="eastAsia"/>
                <w:b/>
                <w:color w:val="auto"/>
                <w:lang w:eastAsia="zh-CN"/>
              </w:rPr>
            </w:pPr>
          </w:p>
          <w:p>
            <w:pPr>
              <w:rPr>
                <w:b/>
                <w:color w:val="auto"/>
                <w:lang w:eastAsia="zh-CN"/>
              </w:rPr>
            </w:pPr>
            <w:r>
              <w:rPr>
                <w:rFonts w:hint="eastAsia"/>
                <w:b/>
                <w:color w:val="auto"/>
                <w:lang w:eastAsia="zh-CN"/>
              </w:rPr>
              <w:t>（</w:t>
            </w:r>
            <w:r>
              <w:rPr>
                <w:rFonts w:hint="eastAsia"/>
                <w:b/>
                <w:color w:val="auto"/>
                <w:lang w:eastAsia="zh-CN"/>
              </w:rPr>
              <w:t>有色组</w:t>
            </w:r>
            <w:r>
              <w:rPr>
                <w:rFonts w:hint="eastAsia"/>
                <w:b/>
                <w:color w:val="auto"/>
                <w:lang w:eastAsia="zh-CN"/>
              </w:rPr>
              <w:t>）</w:t>
            </w:r>
          </w:p>
        </w:tc>
      </w:tr>
      <w:tr>
        <w:tblPrEx>
          <w:tblCellMar>
            <w:top w:w="0" w:type="dxa"/>
            <w:left w:w="108" w:type="dxa"/>
            <w:bottom w:w="0" w:type="dxa"/>
            <w:right w:w="108" w:type="dxa"/>
          </w:tblCellMar>
        </w:tblPrEx>
        <w:trPr>
          <w:cantSplit/>
          <w:trHeight w:val="1287" w:hRule="atLeast"/>
        </w:trPr>
        <w:tc>
          <w:tcPr>
            <w:tcW w:w="534" w:type="dxa"/>
            <w:tcBorders>
              <w:top w:val="single" w:color="000000" w:sz="4" w:space="0"/>
              <w:left w:val="single" w:color="000000" w:sz="4" w:space="0"/>
              <w:bottom w:val="single" w:color="000000" w:sz="4" w:space="0"/>
              <w:right w:val="nil"/>
            </w:tcBorders>
            <w:vAlign w:val="top"/>
          </w:tcPr>
          <w:p>
            <w:pPr>
              <w:widowControl/>
              <w:jc w:val="left"/>
              <w:rPr>
                <w:rFonts w:ascii="宋体" w:hAnsi="宋体" w:cs="宋体"/>
                <w:b/>
                <w:color w:val="auto"/>
                <w:kern w:val="0"/>
                <w:szCs w:val="21"/>
                <w:lang w:eastAsia="zh-CN"/>
              </w:rPr>
            </w:pPr>
            <w:r>
              <w:rPr>
                <w:rFonts w:hint="eastAsia" w:ascii="宋体" w:hAnsi="宋体" w:cs="宋体"/>
                <w:b/>
                <w:color w:val="auto"/>
                <w:kern w:val="0"/>
                <w:szCs w:val="21"/>
                <w:lang w:eastAsia="zh-CN"/>
              </w:rPr>
              <w:t>天胶</w:t>
            </w:r>
          </w:p>
        </w:tc>
        <w:tc>
          <w:tcPr>
            <w:tcW w:w="6410" w:type="dxa"/>
            <w:tcBorders>
              <w:top w:val="single" w:color="000000" w:sz="4" w:space="0"/>
              <w:left w:val="single" w:color="000000" w:sz="4" w:space="0"/>
              <w:bottom w:val="single" w:color="000000" w:sz="4" w:space="0"/>
              <w:right w:val="nil"/>
            </w:tcBorders>
            <w:vAlign w:val="top"/>
          </w:tcPr>
          <w:p>
            <w:pPr>
              <w:widowControl/>
              <w:suppressAutoHyphens w:val="0"/>
              <w:ind w:firstLine="630" w:firstLineChars="300"/>
              <w:jc w:val="left"/>
              <w:rPr>
                <w:rFonts w:hint="eastAsia"/>
                <w:color w:val="auto"/>
              </w:rPr>
            </w:pPr>
            <w:r>
              <w:rPr>
                <w:rFonts w:hint="eastAsia"/>
                <w:color w:val="auto"/>
              </w:rPr>
              <w:t>昨日欧美股市互有涨跌，美欧英央行行长在论坛上均表示继续加息以遏制高通胀，鲍威尔强调要避免美国经济衰退，但并不能保证美国能实现经济的软着陆。美国一季度GDP增速遭到下调，海外经济总体扩张的形势保持放缓。国内央行继续强调通过积极实行稳健的货币政策，稳定经济大盘，而国内防疫政策逐步改进，有利于经济的回稳，昨日工业品期货指数偏强震荡，本周以来的反弹遭遇较大的压力，继续向上反弹存在一定难度，关注其短期的方向选择。行业方面，昨日泰国原料胶水下跌，成本端继续坍塌，但随着胶水价格逼近50泰铢，其下跌的动能料也将有所减轻。国内原料胶水价格持稳，成本区间上方的支撑同样明显。昨日国内天然橡胶现货价格微幅回落，维持近期震荡走势（全乳胶12750元/吨，-50/-0.39%；20号泰标1685美元/吨，持稳，折合人民币11278元/吨；20号泰混12600元/吨，持稳）。下游方面预期本周国内轮胎开工率小幅走低，市场轮胎替换需求低迷，加之当前代理商库存充足，对后市看空心态浓厚。</w:t>
            </w:r>
          </w:p>
          <w:p>
            <w:pPr>
              <w:widowControl/>
              <w:suppressAutoHyphens w:val="0"/>
              <w:ind w:firstLine="630" w:firstLineChars="300"/>
              <w:jc w:val="left"/>
              <w:rPr>
                <w:rFonts w:hint="eastAsia" w:eastAsia="宋体"/>
                <w:color w:val="auto"/>
                <w:lang w:eastAsia="zh-CN"/>
              </w:rPr>
            </w:pPr>
            <w:r>
              <w:rPr>
                <w:rFonts w:hint="eastAsia"/>
                <w:color w:val="auto"/>
              </w:rPr>
              <w:t>技术面：昨日RU2209保持窄幅震荡的局面，多空以减仓为主，不利于胶价的波幅，短期市场缺乏明确方向，下方支撑保持在12600附近，上方压力保持在12900-13000。</w:t>
            </w:r>
          </w:p>
        </w:tc>
        <w:tc>
          <w:tcPr>
            <w:tcW w:w="2050" w:type="dxa"/>
            <w:tcBorders>
              <w:top w:val="single" w:color="000000" w:sz="4" w:space="0"/>
              <w:left w:val="single" w:color="000000" w:sz="4" w:space="0"/>
              <w:bottom w:val="single" w:color="000000" w:sz="4" w:space="0"/>
              <w:right w:val="single" w:color="000000" w:sz="4" w:space="0"/>
            </w:tcBorders>
            <w:vAlign w:val="top"/>
          </w:tcPr>
          <w:p>
            <w:pPr>
              <w:rPr>
                <w:rFonts w:hint="eastAsia"/>
                <w:b/>
                <w:color w:val="auto"/>
                <w:lang w:eastAsia="zh-CN"/>
              </w:rPr>
            </w:pPr>
            <w:r>
              <w:rPr>
                <w:rFonts w:hint="eastAsia"/>
                <w:b/>
                <w:color w:val="auto"/>
                <w:lang w:eastAsia="zh-CN"/>
              </w:rPr>
              <w:t>操作建议：轻仓波段交易或观望，关注后市波幅的扩大。</w:t>
            </w:r>
          </w:p>
          <w:p>
            <w:pPr>
              <w:rPr>
                <w:rFonts w:hint="eastAsia"/>
                <w:b/>
                <w:color w:val="auto"/>
                <w:lang w:eastAsia="zh-CN"/>
              </w:rPr>
            </w:pPr>
          </w:p>
          <w:p>
            <w:pPr>
              <w:rPr>
                <w:b/>
                <w:color w:val="auto"/>
                <w:lang w:eastAsia="zh-CN"/>
              </w:rPr>
            </w:pPr>
            <w:r>
              <w:rPr>
                <w:rFonts w:hint="eastAsia"/>
                <w:b/>
                <w:color w:val="auto"/>
                <w:lang w:eastAsia="zh-CN"/>
              </w:rPr>
              <w:t>（王海峰）</w:t>
            </w:r>
          </w:p>
        </w:tc>
      </w:tr>
      <w:tr>
        <w:tblPrEx>
          <w:tblCellMar>
            <w:top w:w="0" w:type="dxa"/>
            <w:left w:w="108" w:type="dxa"/>
            <w:bottom w:w="0" w:type="dxa"/>
            <w:right w:w="108" w:type="dxa"/>
          </w:tblCellMar>
        </w:tblPrEx>
        <w:trPr>
          <w:cantSplit/>
          <w:trHeight w:val="1287" w:hRule="atLeast"/>
        </w:trPr>
        <w:tc>
          <w:tcPr>
            <w:tcW w:w="534" w:type="dxa"/>
            <w:tcBorders>
              <w:top w:val="single" w:color="000000" w:sz="4" w:space="0"/>
              <w:left w:val="single" w:color="000000" w:sz="4" w:space="0"/>
              <w:bottom w:val="single" w:color="000000" w:sz="4" w:space="0"/>
              <w:right w:val="nil"/>
            </w:tcBorders>
            <w:vAlign w:val="top"/>
          </w:tcPr>
          <w:p>
            <w:pPr>
              <w:widowControl/>
              <w:jc w:val="left"/>
              <w:rPr>
                <w:rFonts w:hint="default" w:ascii="宋体" w:hAnsi="宋体" w:eastAsia="宋体" w:cs="宋体"/>
                <w:b/>
                <w:color w:val="auto"/>
                <w:kern w:val="0"/>
                <w:sz w:val="21"/>
                <w:szCs w:val="21"/>
                <w:lang w:val="en-US" w:eastAsia="zh-CN" w:bidi="ar-SA"/>
              </w:rPr>
            </w:pPr>
            <w:r>
              <w:rPr>
                <w:rFonts w:hint="eastAsia" w:ascii="宋体" w:hAnsi="宋体" w:cs="宋体"/>
                <w:b/>
                <w:color w:val="auto"/>
                <w:kern w:val="0"/>
                <w:sz w:val="21"/>
                <w:szCs w:val="21"/>
                <w:lang w:val="en-US" w:eastAsia="zh-CN" w:bidi="ar-SA"/>
              </w:rPr>
              <w:t>原油</w:t>
            </w:r>
          </w:p>
        </w:tc>
        <w:tc>
          <w:tcPr>
            <w:tcW w:w="6410" w:type="dxa"/>
            <w:tcBorders>
              <w:top w:val="single" w:color="000000" w:sz="4" w:space="0"/>
              <w:left w:val="single" w:color="000000" w:sz="4" w:space="0"/>
              <w:bottom w:val="single" w:color="000000" w:sz="4" w:space="0"/>
              <w:right w:val="nil"/>
            </w:tcBorders>
            <w:vAlign w:val="top"/>
          </w:tcPr>
          <w:p>
            <w:pPr>
              <w:widowControl/>
              <w:suppressAutoHyphens w:val="0"/>
              <w:ind w:firstLine="630" w:firstLineChars="300"/>
              <w:jc w:val="left"/>
              <w:rPr>
                <w:rFonts w:hint="eastAsia"/>
                <w:color w:val="auto"/>
              </w:rPr>
            </w:pPr>
            <w:r>
              <w:rPr>
                <w:rFonts w:hint="eastAsia"/>
                <w:color w:val="auto"/>
              </w:rPr>
              <w:t>欧佩克部长可能放松生产之前举行会议，将确认临时的64.8万桶/天的8月配额增加。6月29日，财政部、发改委发布《关于做好国际油价触及调控上限后实施阶段性价格补贴有关工作的通知》（下称《通知》）明确，当国际油价高于130美元每桶时，国内成品油价格阶段性不再上调，同时还将对炼油企业实行阶段性价格补贴。政策持续时间暂按两个月掌握。中国商务部已于2022年第二批向35家符合条件的独立和非国有炼油厂批准了5256万吨（3.8526亿桶）原油进口配额。比2021年同批3522万吨增长了49.2%。高盛首席大宗商品策略师杰夫·柯里表示，今年夏天布伦特原油期货价格最高将涨至每桶140美元。他认为，当前油气领域投资不足将继续推动油价攀升。此前在6月7日，高盛曾发布报告预测布伦特原油价格将触及每桶140美元。但自那之后，国际油价就连续两周下挫。沙特的炼油能力在2021年增长了13.7%，是同行中增幅最大的国家之一，主要是在红海的西海岸增加了40万桶/日的吉赞炼油厂。伊朗表示“本周”将重启核谈判，会谈将在卡塔尔多哈举行。自最近上线新管道产能以来，加拿大重质原油越来越多地流向美国墨西哥湾沿岸，这些原油再出口，WCS和Mars基准面临巨大差异。ARC的数据，厄瓜多尔原油产量从6月12日的49.9万桶/天下降了45%，至南美国家开始全国罢工的前一天，6月22日的27.59万桶/天。PlattsFOBSingapore92RON汽油裂与ICE布伦特原油裂解价差，上涨7.56美元/桶，至6月22日收盘时37.93美元/桶的历史高点。</w:t>
            </w:r>
          </w:p>
          <w:p>
            <w:pPr>
              <w:widowControl/>
              <w:suppressAutoHyphens w:val="0"/>
              <w:ind w:firstLine="630" w:firstLineChars="300"/>
              <w:jc w:val="left"/>
              <w:rPr>
                <w:rFonts w:hint="eastAsia" w:ascii="Times New Roman" w:hAnsi="Times New Roman" w:eastAsia="宋体" w:cs="Times New Roman"/>
                <w:color w:val="auto"/>
                <w:kern w:val="2"/>
                <w:sz w:val="21"/>
                <w:lang w:val="en-US" w:eastAsia="zh-CN" w:bidi="ar-SA"/>
              </w:rPr>
            </w:pPr>
            <w:r>
              <w:rPr>
                <w:rFonts w:hint="eastAsia"/>
                <w:color w:val="auto"/>
              </w:rPr>
              <w:t>操作建议:虽然美国商业原油库存持续下降，但汽油需求出现放缓迹象、库存增幅高于预期，国际油价下跌。NYMEX原油期货08合约109.78跌1.98美元/桶或1.77%；ICE布油期货08合约116.26跌1.72美元/桶或1.46%。</w:t>
            </w:r>
          </w:p>
        </w:tc>
        <w:tc>
          <w:tcPr>
            <w:tcW w:w="2050" w:type="dxa"/>
            <w:tcBorders>
              <w:top w:val="single" w:color="000000" w:sz="4" w:space="0"/>
              <w:left w:val="single" w:color="000000" w:sz="4" w:space="0"/>
              <w:bottom w:val="single" w:color="000000" w:sz="4" w:space="0"/>
              <w:right w:val="single" w:color="000000" w:sz="4" w:space="0"/>
            </w:tcBorders>
            <w:vAlign w:val="top"/>
          </w:tcPr>
          <w:p>
            <w:pPr>
              <w:rPr>
                <w:rFonts w:hint="eastAsia"/>
                <w:b/>
                <w:color w:val="auto"/>
                <w:lang w:eastAsia="zh-CN"/>
              </w:rPr>
            </w:pPr>
            <w:r>
              <w:rPr>
                <w:rFonts w:hint="eastAsia"/>
                <w:b/>
                <w:color w:val="auto"/>
                <w:lang w:eastAsia="zh-CN"/>
              </w:rPr>
              <w:t>操作思路以短期高位震荡为主，关注布伦特原油震荡区间110-120美元/桶，注意止盈止损。</w:t>
            </w:r>
          </w:p>
          <w:p>
            <w:pPr>
              <w:rPr>
                <w:rFonts w:hint="eastAsia"/>
                <w:b/>
                <w:color w:val="auto"/>
                <w:lang w:eastAsia="zh-CN"/>
              </w:rPr>
            </w:pPr>
          </w:p>
          <w:p>
            <w:pPr>
              <w:rPr>
                <w:rFonts w:hint="eastAsia" w:ascii="Times New Roman" w:hAnsi="Times New Roman" w:eastAsia="宋体" w:cs="Times New Roman"/>
                <w:b/>
                <w:color w:val="auto"/>
                <w:kern w:val="2"/>
                <w:sz w:val="21"/>
                <w:lang w:val="en-US" w:eastAsia="zh-CN" w:bidi="ar-SA"/>
              </w:rPr>
            </w:pPr>
            <w:r>
              <w:rPr>
                <w:rFonts w:hint="eastAsia"/>
                <w:b/>
                <w:color w:val="auto"/>
                <w:lang w:eastAsia="zh-CN"/>
              </w:rPr>
              <w:t>（</w:t>
            </w:r>
            <w:r>
              <w:rPr>
                <w:rFonts w:hint="eastAsia"/>
                <w:b/>
                <w:color w:val="auto"/>
                <w:lang w:val="en-US" w:eastAsia="zh-CN"/>
              </w:rPr>
              <w:t>黄世俊</w:t>
            </w:r>
            <w:r>
              <w:rPr>
                <w:rFonts w:hint="eastAsia"/>
                <w:b/>
                <w:color w:val="auto"/>
                <w:lang w:eastAsia="zh-CN"/>
              </w:rPr>
              <w:t>）</w:t>
            </w:r>
          </w:p>
        </w:tc>
      </w:tr>
    </w:tbl>
    <w:p>
      <w:pPr>
        <w:widowControl/>
        <w:jc w:val="left"/>
        <w:rPr>
          <w:rFonts w:ascii="黑体" w:eastAsia="黑体" w:cs="宋体"/>
          <w:color w:val="auto"/>
          <w:szCs w:val="21"/>
        </w:rPr>
      </w:pPr>
      <w:r>
        <w:rPr>
          <w:rFonts w:hint="eastAsia" w:ascii="黑体" w:eastAsia="黑体" w:cs="宋体"/>
          <w:color w:val="auto"/>
          <w:szCs w:val="21"/>
        </w:rPr>
        <w:t>本报告中的信息均来源于公开资料，我公司对这些信息的准确性和完整性不作任何保证，报告中的内容和意见仅供参考。我公司及员工对使用本报刊及其内容所引发的任何直接或间接损失概不负责。本报刊版权归道通期货所有。</w:t>
      </w: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r>
      <w:rPr>
        <w:lang w:eastAsia="zh-CN"/>
      </w:rPr>
      <mc:AlternateContent>
        <mc:Choice Requires="wps">
          <w:drawing>
            <wp:anchor distT="0" distB="0" distL="0" distR="0" simplePos="0" relativeHeight="251659264" behindDoc="0" locked="0" layoutInCell="1" allowOverlap="1">
              <wp:simplePos x="0" y="0"/>
              <wp:positionH relativeFrom="page">
                <wp:posOffset>6361430</wp:posOffset>
              </wp:positionH>
              <wp:positionV relativeFrom="paragraph">
                <wp:posOffset>635</wp:posOffset>
              </wp:positionV>
              <wp:extent cx="246380" cy="124460"/>
              <wp:effectExtent l="8255" t="635" r="2540" b="8255"/>
              <wp:wrapSquare wrapText="largest"/>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46380" cy="124460"/>
                      </a:xfrm>
                      <a:prstGeom prst="rect">
                        <a:avLst/>
                      </a:prstGeom>
                      <a:solidFill>
                        <a:srgbClr val="FFFFFF">
                          <a:alpha val="0"/>
                        </a:srgbClr>
                      </a:solidFill>
                      <a:ln>
                        <a:noFill/>
                      </a:ln>
                      <a:effectLst/>
                    </wps:spPr>
                    <wps:txbx>
                      <w:txbxContent>
                        <w:p>
                          <w:pPr>
                            <w:pStyle w:val="2"/>
                          </w:pPr>
                          <w:r>
                            <w:fldChar w:fldCharType="begin"/>
                          </w:r>
                          <w:r>
                            <w:instrText xml:space="preserve"> PAGE </w:instrText>
                          </w:r>
                          <w:r>
                            <w:fldChar w:fldCharType="separate"/>
                          </w:r>
                          <w:r>
                            <w:t>6</w:t>
                          </w:r>
                          <w:r>
                            <w:fldChar w:fldCharType="end"/>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500.9pt;margin-top:0.05pt;height:9.8pt;width:19.4pt;mso-position-horizontal-relative:page;mso-wrap-distance-bottom:0pt;mso-wrap-distance-left:0pt;mso-wrap-distance-right:0pt;mso-wrap-distance-top:0pt;z-index:251659264;mso-width-relative:page;mso-height-relative:page;" fillcolor="#FFFFFF" filled="t" stroked="f" coordsize="21600,21600" o:gfxdata="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LcXJT1AAAAAkBAAAPAAAAAAAAAAEAIAAAACIAAABkcnMvZG93bnJldi54bWxQSwEC&#10;FAAUAAAACACHTuJAExrNKjECAABYBAAADgAAAAAAAAABACAAAAAjAQAAZHJzL2Uyb0RvYy54bWxQ&#10;SwUGAAAAAAYABgBZAQAAxgUAAAAA&#10;">
              <v:fill on="t" opacity="0f" focussize="0,0"/>
              <v:stroke on="f"/>
              <v:imagedata o:title=""/>
              <o:lock v:ext="edit" aspectratio="f"/>
              <v:textbox inset="0mm,0mm,0mm,0mm">
                <w:txbxContent>
                  <w:p>
                    <w:pPr>
                      <w:pStyle w:val="2"/>
                    </w:pPr>
                    <w:r>
                      <w:fldChar w:fldCharType="begin"/>
                    </w:r>
                    <w:r>
                      <w:instrText xml:space="preserve"> PAGE </w:instrText>
                    </w:r>
                    <w:r>
                      <w:fldChar w:fldCharType="separate"/>
                    </w:r>
                    <w:r>
                      <w:t>6</w:t>
                    </w:r>
                    <w:r>
                      <w:fldChar w:fldCharType="end"/>
                    </w:r>
                  </w:p>
                </w:txbxContent>
              </v:textbox>
              <w10:wrap type="square" side="largest"/>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lang w:eastAsia="zh-CN"/>
      </w:rPr>
      <w:drawing>
        <wp:inline distT="0" distB="0" distL="0" distR="0">
          <wp:extent cx="4343400" cy="647700"/>
          <wp:effectExtent l="0" t="0" r="0" b="0"/>
          <wp:docPr id="3" name="图片 3" descr="01413417121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014134171215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343400" cy="647700"/>
                  </a:xfrm>
                  <a:prstGeom prst="rect">
                    <a:avLst/>
                  </a:prstGeom>
                  <a:solidFill>
                    <a:srgbClr val="FFFFFF"/>
                  </a:solidFill>
                  <a:ln>
                    <a:noFill/>
                  </a:ln>
                  <a:effectLst/>
                </pic:spPr>
              </pic:pic>
            </a:graphicData>
          </a:graphic>
        </wp:inline>
      </w:drawing>
    </w:r>
    <w:r>
      <w:rPr>
        <w:rFonts w:hint="eastAsia"/>
        <w:b/>
        <w:sz w:val="24"/>
      </w:rPr>
      <w:t>研究所</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53E2C"/>
    <w:rsid w:val="000E5154"/>
    <w:rsid w:val="000F371A"/>
    <w:rsid w:val="0012356C"/>
    <w:rsid w:val="001C1FC2"/>
    <w:rsid w:val="001D4A9A"/>
    <w:rsid w:val="00212FE7"/>
    <w:rsid w:val="00293230"/>
    <w:rsid w:val="002C2C71"/>
    <w:rsid w:val="003B7B20"/>
    <w:rsid w:val="00423CD1"/>
    <w:rsid w:val="004C6700"/>
    <w:rsid w:val="004D5BD2"/>
    <w:rsid w:val="004D5EAC"/>
    <w:rsid w:val="004E76CE"/>
    <w:rsid w:val="004F7FFA"/>
    <w:rsid w:val="00525381"/>
    <w:rsid w:val="00533C3E"/>
    <w:rsid w:val="005579C3"/>
    <w:rsid w:val="00577396"/>
    <w:rsid w:val="00592B06"/>
    <w:rsid w:val="00635AE0"/>
    <w:rsid w:val="00642BBB"/>
    <w:rsid w:val="007E13BC"/>
    <w:rsid w:val="00944398"/>
    <w:rsid w:val="00956E05"/>
    <w:rsid w:val="00977AD7"/>
    <w:rsid w:val="009D7439"/>
    <w:rsid w:val="00A2026A"/>
    <w:rsid w:val="00A968EA"/>
    <w:rsid w:val="00AC565B"/>
    <w:rsid w:val="00AF5C20"/>
    <w:rsid w:val="00B5427D"/>
    <w:rsid w:val="00B57BA2"/>
    <w:rsid w:val="00BD402B"/>
    <w:rsid w:val="00C307B2"/>
    <w:rsid w:val="00C37202"/>
    <w:rsid w:val="00C56BD5"/>
    <w:rsid w:val="00CF0B5A"/>
    <w:rsid w:val="00D215DB"/>
    <w:rsid w:val="00D406FC"/>
    <w:rsid w:val="00D711A4"/>
    <w:rsid w:val="00D835F1"/>
    <w:rsid w:val="00DA0DD2"/>
    <w:rsid w:val="00F51399"/>
    <w:rsid w:val="01006B66"/>
    <w:rsid w:val="01A17F68"/>
    <w:rsid w:val="042D0F35"/>
    <w:rsid w:val="057C20A4"/>
    <w:rsid w:val="08D77793"/>
    <w:rsid w:val="093706B3"/>
    <w:rsid w:val="09656767"/>
    <w:rsid w:val="099174FC"/>
    <w:rsid w:val="09E27D0D"/>
    <w:rsid w:val="0A57325E"/>
    <w:rsid w:val="0A624104"/>
    <w:rsid w:val="0B544A92"/>
    <w:rsid w:val="0C12090D"/>
    <w:rsid w:val="0D7A2D36"/>
    <w:rsid w:val="12294B95"/>
    <w:rsid w:val="124F21B0"/>
    <w:rsid w:val="13B23C90"/>
    <w:rsid w:val="14E22F0B"/>
    <w:rsid w:val="16714D70"/>
    <w:rsid w:val="18890622"/>
    <w:rsid w:val="18B11A3E"/>
    <w:rsid w:val="18B21305"/>
    <w:rsid w:val="195C02AF"/>
    <w:rsid w:val="1A8E2066"/>
    <w:rsid w:val="1C955016"/>
    <w:rsid w:val="1CAE3AF0"/>
    <w:rsid w:val="1E9D2B4C"/>
    <w:rsid w:val="1EC70303"/>
    <w:rsid w:val="1F7E29BD"/>
    <w:rsid w:val="1F8072E8"/>
    <w:rsid w:val="20970D76"/>
    <w:rsid w:val="226C1608"/>
    <w:rsid w:val="227E57F8"/>
    <w:rsid w:val="227F224C"/>
    <w:rsid w:val="23C604D1"/>
    <w:rsid w:val="23F270CF"/>
    <w:rsid w:val="245A2629"/>
    <w:rsid w:val="2A7A4984"/>
    <w:rsid w:val="2B252FF2"/>
    <w:rsid w:val="2D8D3BC9"/>
    <w:rsid w:val="2FCC19BF"/>
    <w:rsid w:val="31EC1213"/>
    <w:rsid w:val="321D62B5"/>
    <w:rsid w:val="341F7FC4"/>
    <w:rsid w:val="353D5E3C"/>
    <w:rsid w:val="358935BB"/>
    <w:rsid w:val="36AB3BBE"/>
    <w:rsid w:val="384D33C8"/>
    <w:rsid w:val="39983F44"/>
    <w:rsid w:val="3CF13880"/>
    <w:rsid w:val="406C6812"/>
    <w:rsid w:val="40A56BD2"/>
    <w:rsid w:val="41A00C7B"/>
    <w:rsid w:val="424E1F35"/>
    <w:rsid w:val="426E1857"/>
    <w:rsid w:val="430419B8"/>
    <w:rsid w:val="43811021"/>
    <w:rsid w:val="442D0F38"/>
    <w:rsid w:val="465F7101"/>
    <w:rsid w:val="49131CBA"/>
    <w:rsid w:val="491A1D27"/>
    <w:rsid w:val="4A29450B"/>
    <w:rsid w:val="4A2A5B0A"/>
    <w:rsid w:val="4B25247A"/>
    <w:rsid w:val="4CDB5F58"/>
    <w:rsid w:val="4D9E7DC0"/>
    <w:rsid w:val="4DA0349C"/>
    <w:rsid w:val="4FCE0CA2"/>
    <w:rsid w:val="4FFF16B7"/>
    <w:rsid w:val="501C1047"/>
    <w:rsid w:val="509328D4"/>
    <w:rsid w:val="5132643B"/>
    <w:rsid w:val="518F71CD"/>
    <w:rsid w:val="526922B9"/>
    <w:rsid w:val="53B809A0"/>
    <w:rsid w:val="5610706B"/>
    <w:rsid w:val="578723B2"/>
    <w:rsid w:val="57D67B07"/>
    <w:rsid w:val="58CF0924"/>
    <w:rsid w:val="5B116A65"/>
    <w:rsid w:val="5B922A05"/>
    <w:rsid w:val="5CDE1F17"/>
    <w:rsid w:val="5FAE7A14"/>
    <w:rsid w:val="60593F12"/>
    <w:rsid w:val="66714647"/>
    <w:rsid w:val="66CC74E1"/>
    <w:rsid w:val="73C8743F"/>
    <w:rsid w:val="76583639"/>
    <w:rsid w:val="7A3D7229"/>
    <w:rsid w:val="7A857A1E"/>
    <w:rsid w:val="7A8C2DBA"/>
    <w:rsid w:val="7B9137A7"/>
    <w:rsid w:val="7C086E1A"/>
    <w:rsid w:val="7DFC7528"/>
    <w:rsid w:val="7E712B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Times New Roman" w:hAnsi="Times New Roman" w:eastAsia="宋体" w:cs="Times New Roman"/>
      <w:kern w:val="2"/>
      <w:sz w:val="21"/>
      <w:lang w:val="en-US" w:eastAsia="ar-SA"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0"/>
    <w:pPr>
      <w:tabs>
        <w:tab w:val="center" w:pos="4153"/>
        <w:tab w:val="right" w:pos="8306"/>
      </w:tabs>
      <w:snapToGrid w:val="0"/>
      <w:jc w:val="left"/>
    </w:pPr>
    <w:rPr>
      <w:sz w:val="18"/>
    </w:rPr>
  </w:style>
  <w:style w:type="paragraph" w:styleId="3">
    <w:name w:val="header"/>
    <w:basedOn w:val="1"/>
    <w:link w:val="7"/>
    <w:qFormat/>
    <w:uiPriority w:val="0"/>
    <w:pPr>
      <w:pBdr>
        <w:bottom w:val="single" w:color="000000" w:sz="4" w:space="1"/>
      </w:pBdr>
      <w:tabs>
        <w:tab w:val="center" w:pos="4153"/>
        <w:tab w:val="right" w:pos="8306"/>
      </w:tabs>
      <w:snapToGrid w:val="0"/>
      <w:jc w:val="center"/>
    </w:pPr>
    <w:rPr>
      <w:sz w:val="18"/>
    </w:rPr>
  </w:style>
  <w:style w:type="character" w:customStyle="1" w:styleId="6">
    <w:name w:val="页脚 字符"/>
    <w:basedOn w:val="5"/>
    <w:link w:val="2"/>
    <w:qFormat/>
    <w:uiPriority w:val="0"/>
    <w:rPr>
      <w:rFonts w:ascii="Times New Roman" w:hAnsi="Times New Roman" w:eastAsia="宋体" w:cs="Times New Roman"/>
      <w:sz w:val="18"/>
      <w:szCs w:val="20"/>
      <w:lang w:eastAsia="ar-SA"/>
    </w:rPr>
  </w:style>
  <w:style w:type="character" w:customStyle="1" w:styleId="7">
    <w:name w:val="页眉 字符"/>
    <w:basedOn w:val="5"/>
    <w:link w:val="3"/>
    <w:qFormat/>
    <w:uiPriority w:val="0"/>
    <w:rPr>
      <w:rFonts w:ascii="Times New Roman" w:hAnsi="Times New Roman" w:eastAsia="宋体" w:cs="Times New Roman"/>
      <w:sz w:val="18"/>
      <w:szCs w:val="20"/>
      <w:lang w:eastAsia="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845</Words>
  <Characters>4817</Characters>
  <Lines>40</Lines>
  <Paragraphs>11</Paragraphs>
  <TotalTime>5</TotalTime>
  <ScaleCrop>false</ScaleCrop>
  <LinksUpToDate>false</LinksUpToDate>
  <CharactersWithSpaces>5651</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2021-04-23T15:55:00Z</dcterms:created>
  <dc:creator>admin</dc:creator>
  <cp:lastModifiedBy>admin</cp:lastModifiedBy>
  <dcterms:modified xsi:type="dcterms:W3CDTF">2022-06-30T00:40:40Z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241ED9DFB688474D48B653619F6A5D07</vt:lpwstr>
  </property>
</Properties>
</file>