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color w:val="auto"/>
          <w:kern w:val="0"/>
          <w:szCs w:val="21"/>
          <w:lang w:eastAsia="zh-CN"/>
        </w:rPr>
      </w:pPr>
      <w:r>
        <w:rPr>
          <w:rFonts w:hint="eastAsia" w:ascii="宋体" w:hAnsi="宋体" w:cs="宋体"/>
          <w:color w:val="auto"/>
          <w:kern w:val="0"/>
          <w:szCs w:val="21"/>
          <w:lang w:eastAsia="zh-CN"/>
        </w:rPr>
        <w:t>道通早报</w:t>
      </w:r>
    </w:p>
    <w:p>
      <w:pPr>
        <w:widowControl/>
        <w:jc w:val="right"/>
        <w:rPr>
          <w:rFonts w:ascii="宋体" w:hAnsi="宋体" w:cs="宋体"/>
          <w:color w:val="auto"/>
          <w:kern w:val="0"/>
          <w:szCs w:val="21"/>
          <w:lang w:eastAsia="zh-CN"/>
        </w:rPr>
      </w:pPr>
      <w:r>
        <w:rPr>
          <w:rFonts w:hint="eastAsia" w:ascii="宋体" w:hAnsi="宋体" w:cs="宋体"/>
          <w:color w:val="auto"/>
          <w:kern w:val="0"/>
          <w:szCs w:val="21"/>
          <w:lang w:eastAsia="zh-CN"/>
        </w:rPr>
        <w:t>日期：202</w:t>
      </w:r>
      <w:r>
        <w:rPr>
          <w:rFonts w:hint="eastAsia" w:ascii="宋体" w:hAnsi="宋体" w:cs="宋体"/>
          <w:color w:val="auto"/>
          <w:kern w:val="0"/>
          <w:szCs w:val="21"/>
          <w:lang w:val="en-US" w:eastAsia="zh-CN"/>
        </w:rPr>
        <w:t>2</w:t>
      </w:r>
      <w:r>
        <w:rPr>
          <w:rFonts w:hint="eastAsia" w:ascii="宋体" w:hAnsi="宋体" w:cs="宋体"/>
          <w:color w:val="auto"/>
          <w:kern w:val="0"/>
          <w:szCs w:val="21"/>
          <w:lang w:eastAsia="zh-CN"/>
        </w:rPr>
        <w:t>年</w:t>
      </w:r>
      <w:r>
        <w:rPr>
          <w:rFonts w:hint="eastAsia" w:ascii="宋体" w:hAnsi="宋体" w:cs="宋体"/>
          <w:color w:val="auto"/>
          <w:kern w:val="0"/>
          <w:szCs w:val="21"/>
          <w:lang w:val="en-US" w:eastAsia="zh-CN"/>
        </w:rPr>
        <w:t>6月28</w:t>
      </w:r>
      <w:r>
        <w:rPr>
          <w:rFonts w:hint="eastAsia" w:ascii="宋体" w:hAnsi="宋体" w:cs="宋体"/>
          <w:color w:val="auto"/>
          <w:kern w:val="0"/>
          <w:szCs w:val="21"/>
          <w:lang w:eastAsia="zh-CN"/>
        </w:rPr>
        <w:t>日</w:t>
      </w:r>
    </w:p>
    <w:p>
      <w:pPr>
        <w:jc w:val="center"/>
        <w:rPr>
          <w:rFonts w:ascii="宋体" w:hAnsi="宋体" w:cs="宋体"/>
          <w:color w:val="auto"/>
          <w:kern w:val="0"/>
          <w:szCs w:val="21"/>
          <w:lang w:eastAsia="zh-CN"/>
        </w:rPr>
      </w:pPr>
    </w:p>
    <w:p>
      <w:pPr>
        <w:jc w:val="center"/>
        <w:rPr>
          <w:rFonts w:ascii="宋体" w:hAnsi="宋体" w:cs="宋体"/>
          <w:color w:val="auto"/>
          <w:kern w:val="0"/>
          <w:szCs w:val="21"/>
          <w:lang w:eastAsia="zh-CN"/>
        </w:rPr>
      </w:pPr>
    </w:p>
    <w:p>
      <w:pPr>
        <w:jc w:val="center"/>
        <w:rPr>
          <w:rFonts w:ascii="宋体" w:hAnsi="宋体" w:cs="宋体"/>
          <w:color w:val="auto"/>
          <w:kern w:val="0"/>
          <w:szCs w:val="21"/>
          <w:lang w:eastAsia="zh-CN"/>
        </w:rPr>
      </w:pPr>
      <w:r>
        <w:rPr>
          <w:rFonts w:hint="eastAsia" w:ascii="宋体" w:hAnsi="宋体" w:cs="宋体"/>
          <w:color w:val="auto"/>
          <w:kern w:val="0"/>
          <w:szCs w:val="21"/>
          <w:lang w:eastAsia="zh-CN"/>
        </w:rPr>
        <w:t>【经济要闻】</w:t>
      </w:r>
    </w:p>
    <w:p>
      <w:pPr>
        <w:rPr>
          <w:color w:val="auto"/>
        </w:rPr>
      </w:pPr>
    </w:p>
    <w:p>
      <w:pPr>
        <w:rPr>
          <w:color w:val="auto"/>
        </w:rPr>
      </w:pPr>
    </w:p>
    <w:p>
      <w:pPr>
        <w:jc w:val="left"/>
        <w:rPr>
          <w:rFonts w:hint="eastAsia"/>
          <w:color w:val="auto"/>
        </w:rPr>
      </w:pPr>
      <w:r>
        <w:rPr>
          <w:rFonts w:hint="eastAsia"/>
          <w:color w:val="auto"/>
        </w:rPr>
        <w:t>【国际宏观基本面信息】</w:t>
      </w:r>
    </w:p>
    <w:p>
      <w:pPr>
        <w:jc w:val="left"/>
        <w:rPr>
          <w:rFonts w:hint="eastAsia"/>
          <w:color w:val="auto"/>
        </w:rPr>
      </w:pPr>
      <w:r>
        <w:rPr>
          <w:rFonts w:hint="eastAsia"/>
          <w:color w:val="auto"/>
        </w:rPr>
        <w:t>1  5月份美国工厂耐用品订单增幅高于预期，表明即便在利率上升和对经济担忧加剧的情况下，企业投资迄今仍保持强劲。5月份耐用品预订量增长0.7%，上月增幅修正为0.4%</w:t>
      </w:r>
    </w:p>
    <w:p>
      <w:pPr>
        <w:jc w:val="left"/>
        <w:rPr>
          <w:rFonts w:hint="eastAsia"/>
          <w:color w:val="auto"/>
        </w:rPr>
      </w:pPr>
      <w:r>
        <w:rPr>
          <w:rFonts w:hint="eastAsia"/>
          <w:color w:val="auto"/>
        </w:rPr>
        <w:t>2  欧洲央行调整7月</w:t>
      </w:r>
      <w:bookmarkStart w:id="0" w:name="_GoBack"/>
      <w:bookmarkEnd w:id="0"/>
      <w:r>
        <w:rPr>
          <w:rFonts w:hint="eastAsia"/>
          <w:color w:val="auto"/>
        </w:rPr>
        <w:t>利率决议的发布时间至7月21日当地时间下午2:15（北京时间20:15）；欧洲央行7月21日的新闻发布会将于当地时间下午2:45（北京时间20:45）开始。</w:t>
      </w:r>
    </w:p>
    <w:p>
      <w:pPr>
        <w:jc w:val="left"/>
        <w:rPr>
          <w:rFonts w:hint="eastAsia"/>
          <w:color w:val="auto"/>
        </w:rPr>
      </w:pPr>
    </w:p>
    <w:p>
      <w:pPr>
        <w:jc w:val="left"/>
        <w:rPr>
          <w:rFonts w:hint="eastAsia"/>
          <w:color w:val="auto"/>
        </w:rPr>
      </w:pPr>
      <w:r>
        <w:rPr>
          <w:rFonts w:hint="eastAsia"/>
          <w:color w:val="auto"/>
        </w:rPr>
        <w:t>【国内宏观基本面信息】</w:t>
      </w:r>
    </w:p>
    <w:p>
      <w:pPr>
        <w:jc w:val="left"/>
        <w:rPr>
          <w:rFonts w:hint="eastAsia"/>
          <w:color w:val="auto"/>
        </w:rPr>
      </w:pPr>
      <w:r>
        <w:rPr>
          <w:rFonts w:hint="eastAsia"/>
          <w:color w:val="auto"/>
        </w:rPr>
        <w:t>1  国家统计局发布数据，1—5月份，全国规模以上工业企业实现利润总额34410.0亿元，同比增长1.0%。中国5月规模以上工业企业利润同比-6.5%，前值-8.5%。</w:t>
      </w:r>
    </w:p>
    <w:p>
      <w:pPr>
        <w:jc w:val="left"/>
        <w:rPr>
          <w:rFonts w:hint="eastAsia"/>
          <w:color w:val="auto"/>
        </w:rPr>
      </w:pPr>
      <w:r>
        <w:rPr>
          <w:rFonts w:hint="eastAsia"/>
          <w:color w:val="auto"/>
        </w:rPr>
        <w:t>2  易纲：货币政策将继续从总量上发力以支持经济复苏,用好支持中小企业和绿色转型等结构性货币政策工具。</w:t>
      </w:r>
    </w:p>
    <w:p>
      <w:pPr>
        <w:jc w:val="left"/>
        <w:rPr>
          <w:rFonts w:hint="eastAsia"/>
          <w:color w:val="auto"/>
        </w:rPr>
      </w:pPr>
      <w:r>
        <w:rPr>
          <w:rFonts w:hint="eastAsia"/>
          <w:color w:val="auto"/>
        </w:rPr>
        <w:t>3  如将本周发行规模考虑上，6月地方债发行规模将达到1.93万亿，创出历史新高。在本周发行结束后，6月末新增专项债发行将达到3.4万亿，基本完成目标任务。</w:t>
      </w:r>
    </w:p>
    <w:p>
      <w:pPr>
        <w:jc w:val="left"/>
        <w:rPr>
          <w:rFonts w:hint="eastAsia"/>
          <w:color w:val="auto"/>
        </w:rPr>
      </w:pPr>
      <w:r>
        <w:rPr>
          <w:rFonts w:hint="eastAsia"/>
          <w:color w:val="auto"/>
        </w:rPr>
        <w:t>4  市场监管总局价监竞争局近日印发通知，部署各地开展煤炭价格监督检查工作。通知要求，以6月—9月为集中检查期，同时注重建立长效监管机制，</w:t>
      </w:r>
    </w:p>
    <w:p>
      <w:pPr>
        <w:jc w:val="left"/>
        <w:rPr>
          <w:rFonts w:hint="eastAsia"/>
          <w:color w:val="auto"/>
        </w:rPr>
      </w:pPr>
    </w:p>
    <w:p>
      <w:pPr>
        <w:jc w:val="left"/>
        <w:rPr>
          <w:rFonts w:hint="eastAsia"/>
          <w:color w:val="auto"/>
        </w:rPr>
      </w:pPr>
      <w:r>
        <w:rPr>
          <w:rFonts w:hint="eastAsia"/>
          <w:color w:val="auto"/>
        </w:rPr>
        <w:t>【当日重要经济数据】</w:t>
      </w:r>
    </w:p>
    <w:p>
      <w:pPr>
        <w:jc w:val="left"/>
        <w:rPr>
          <w:rFonts w:hint="eastAsia"/>
          <w:color w:val="auto"/>
        </w:rPr>
      </w:pPr>
      <w:r>
        <w:rPr>
          <w:rFonts w:hint="eastAsia"/>
          <w:color w:val="auto"/>
        </w:rPr>
        <w:t>20:30</w:t>
      </w:r>
      <w:r>
        <w:rPr>
          <w:rFonts w:hint="eastAsia"/>
          <w:color w:val="auto"/>
        </w:rPr>
        <w:tab/>
      </w:r>
      <w:r>
        <w:rPr>
          <w:rFonts w:hint="eastAsia"/>
          <w:color w:val="auto"/>
        </w:rPr>
        <w:t>美国5月批发库存月率初值(%)</w:t>
      </w:r>
      <w:r>
        <w:rPr>
          <w:rFonts w:hint="eastAsia"/>
          <w:color w:val="auto"/>
        </w:rPr>
        <w:tab/>
      </w:r>
      <w:r>
        <w:rPr>
          <w:rFonts w:hint="eastAsia"/>
          <w:color w:val="auto"/>
        </w:rPr>
        <w:t>2.2</w:t>
      </w:r>
    </w:p>
    <w:p>
      <w:pPr>
        <w:jc w:val="left"/>
        <w:rPr>
          <w:rFonts w:hint="eastAsia"/>
          <w:color w:val="auto"/>
        </w:rPr>
      </w:pPr>
      <w:r>
        <w:rPr>
          <w:rFonts w:hint="eastAsia"/>
          <w:color w:val="auto"/>
        </w:rPr>
        <w:t>21:00</w:t>
      </w:r>
      <w:r>
        <w:rPr>
          <w:rFonts w:hint="eastAsia"/>
          <w:color w:val="auto"/>
        </w:rPr>
        <w:tab/>
      </w:r>
      <w:r>
        <w:rPr>
          <w:rFonts w:hint="eastAsia"/>
          <w:color w:val="auto"/>
        </w:rPr>
        <w:t>美国4月S&amp;P/CS20座大城市未季调房价指数年率(%)</w:t>
      </w:r>
      <w:r>
        <w:rPr>
          <w:rFonts w:hint="eastAsia"/>
          <w:color w:val="auto"/>
        </w:rPr>
        <w:tab/>
      </w:r>
      <w:r>
        <w:rPr>
          <w:rFonts w:hint="eastAsia"/>
          <w:color w:val="auto"/>
        </w:rPr>
        <w:t>21.2</w:t>
      </w:r>
      <w:r>
        <w:rPr>
          <w:rFonts w:hint="eastAsia"/>
          <w:color w:val="auto"/>
        </w:rPr>
        <w:tab/>
      </w:r>
      <w:r>
        <w:rPr>
          <w:rFonts w:hint="eastAsia"/>
          <w:color w:val="auto"/>
        </w:rPr>
        <w:t>21</w:t>
      </w:r>
    </w:p>
    <w:p>
      <w:pPr>
        <w:jc w:val="left"/>
        <w:rPr>
          <w:rFonts w:hint="eastAsia"/>
          <w:color w:val="auto"/>
        </w:rPr>
      </w:pPr>
      <w:r>
        <w:rPr>
          <w:rFonts w:hint="eastAsia"/>
          <w:color w:val="auto"/>
        </w:rPr>
        <w:t>21:00</w:t>
      </w:r>
      <w:r>
        <w:rPr>
          <w:rFonts w:hint="eastAsia"/>
          <w:color w:val="auto"/>
        </w:rPr>
        <w:tab/>
      </w:r>
      <w:r>
        <w:rPr>
          <w:rFonts w:hint="eastAsia"/>
          <w:color w:val="auto"/>
        </w:rPr>
        <w:t>美国4月FHFA房价指数月率(%)</w:t>
      </w:r>
      <w:r>
        <w:rPr>
          <w:rFonts w:hint="eastAsia"/>
          <w:color w:val="auto"/>
        </w:rPr>
        <w:tab/>
      </w:r>
      <w:r>
        <w:rPr>
          <w:rFonts w:hint="eastAsia"/>
          <w:color w:val="auto"/>
        </w:rPr>
        <w:t>1.5</w:t>
      </w:r>
      <w:r>
        <w:rPr>
          <w:rFonts w:hint="eastAsia"/>
          <w:color w:val="auto"/>
        </w:rPr>
        <w:tab/>
      </w:r>
      <w:r>
        <w:rPr>
          <w:rFonts w:hint="eastAsia"/>
          <w:color w:val="auto"/>
        </w:rPr>
        <w:tab/>
      </w:r>
      <w:r>
        <w:rPr>
          <w:rFonts w:hint="eastAsia"/>
          <w:color w:val="auto"/>
        </w:rPr>
        <w:tab/>
      </w:r>
      <w:r>
        <w:rPr>
          <w:rFonts w:hint="eastAsia"/>
          <w:color w:val="auto"/>
        </w:rPr>
        <w:tab/>
      </w:r>
    </w:p>
    <w:p>
      <w:pPr>
        <w:jc w:val="left"/>
        <w:rPr>
          <w:rFonts w:hint="eastAsia"/>
          <w:color w:val="auto"/>
        </w:rPr>
      </w:pPr>
      <w:r>
        <w:rPr>
          <w:rFonts w:hint="eastAsia"/>
          <w:color w:val="auto"/>
        </w:rPr>
        <w:t>美国4月FHFA房价指数年率(%)</w:t>
      </w:r>
      <w:r>
        <w:rPr>
          <w:rFonts w:hint="eastAsia"/>
          <w:color w:val="auto"/>
        </w:rPr>
        <w:tab/>
      </w:r>
      <w:r>
        <w:rPr>
          <w:rFonts w:hint="eastAsia"/>
          <w:color w:val="auto"/>
        </w:rPr>
        <w:t>19</w:t>
      </w:r>
      <w:r>
        <w:rPr>
          <w:rFonts w:hint="eastAsia"/>
          <w:color w:val="auto"/>
        </w:rPr>
        <w:tab/>
      </w:r>
      <w:r>
        <w:rPr>
          <w:rFonts w:hint="eastAsia"/>
          <w:color w:val="auto"/>
        </w:rPr>
        <w:tab/>
      </w:r>
      <w:r>
        <w:rPr>
          <w:rFonts w:hint="eastAsia"/>
          <w:color w:val="auto"/>
        </w:rPr>
        <w:tab/>
      </w:r>
      <w:r>
        <w:rPr>
          <w:rFonts w:hint="eastAsia"/>
          <w:color w:val="auto"/>
        </w:rPr>
        <w:tab/>
      </w:r>
    </w:p>
    <w:p>
      <w:pPr>
        <w:jc w:val="left"/>
        <w:rPr>
          <w:rFonts w:hint="eastAsia"/>
          <w:color w:val="auto"/>
        </w:rPr>
      </w:pPr>
      <w:r>
        <w:rPr>
          <w:rFonts w:hint="eastAsia"/>
          <w:color w:val="auto"/>
        </w:rPr>
        <w:t>21:00</w:t>
      </w:r>
      <w:r>
        <w:rPr>
          <w:rFonts w:hint="eastAsia"/>
          <w:color w:val="auto"/>
        </w:rPr>
        <w:tab/>
      </w:r>
      <w:r>
        <w:rPr>
          <w:rFonts w:hint="eastAsia"/>
          <w:color w:val="auto"/>
        </w:rPr>
        <w:t>美国4月FHFA房价指数</w:t>
      </w:r>
      <w:r>
        <w:rPr>
          <w:rFonts w:hint="eastAsia"/>
          <w:color w:val="auto"/>
        </w:rPr>
        <w:tab/>
      </w:r>
      <w:r>
        <w:rPr>
          <w:rFonts w:hint="eastAsia"/>
          <w:color w:val="auto"/>
        </w:rPr>
        <w:t>386.5</w:t>
      </w:r>
      <w:r>
        <w:rPr>
          <w:rFonts w:hint="eastAsia"/>
          <w:color w:val="auto"/>
        </w:rPr>
        <w:tab/>
      </w:r>
      <w:r>
        <w:rPr>
          <w:rFonts w:hint="eastAsia"/>
          <w:color w:val="auto"/>
        </w:rPr>
        <w:tab/>
      </w:r>
      <w:r>
        <w:rPr>
          <w:rFonts w:hint="eastAsia"/>
          <w:color w:val="auto"/>
        </w:rPr>
        <w:tab/>
      </w:r>
      <w:r>
        <w:rPr>
          <w:rFonts w:hint="eastAsia"/>
          <w:color w:val="auto"/>
        </w:rPr>
        <w:tab/>
      </w:r>
    </w:p>
    <w:p>
      <w:pPr>
        <w:jc w:val="left"/>
        <w:rPr>
          <w:rFonts w:hint="eastAsia"/>
          <w:color w:val="auto"/>
        </w:rPr>
      </w:pPr>
      <w:r>
        <w:rPr>
          <w:rFonts w:hint="eastAsia"/>
          <w:color w:val="auto"/>
        </w:rPr>
        <w:t>22:00</w:t>
      </w:r>
      <w:r>
        <w:rPr>
          <w:rFonts w:hint="eastAsia"/>
          <w:color w:val="auto"/>
        </w:rPr>
        <w:tab/>
      </w:r>
      <w:r>
        <w:rPr>
          <w:rFonts w:hint="eastAsia"/>
          <w:color w:val="auto"/>
        </w:rPr>
        <w:t>美国6月谘商会消费者信心指数</w:t>
      </w:r>
      <w:r>
        <w:rPr>
          <w:rFonts w:hint="eastAsia"/>
          <w:color w:val="auto"/>
        </w:rPr>
        <w:tab/>
      </w:r>
      <w:r>
        <w:rPr>
          <w:rFonts w:hint="eastAsia"/>
          <w:color w:val="auto"/>
        </w:rPr>
        <w:t>106.4</w:t>
      </w:r>
      <w:r>
        <w:rPr>
          <w:rFonts w:hint="eastAsia"/>
          <w:color w:val="auto"/>
        </w:rPr>
        <w:tab/>
      </w:r>
      <w:r>
        <w:rPr>
          <w:rFonts w:hint="eastAsia"/>
          <w:color w:val="auto"/>
        </w:rPr>
        <w:t>100.9</w:t>
      </w:r>
      <w:r>
        <w:rPr>
          <w:rFonts w:hint="eastAsia"/>
          <w:color w:val="auto"/>
        </w:rPr>
        <w:tab/>
      </w:r>
    </w:p>
    <w:p>
      <w:pPr>
        <w:jc w:val="left"/>
        <w:rPr>
          <w:rFonts w:hint="eastAsia"/>
          <w:color w:val="auto"/>
        </w:rPr>
      </w:pPr>
    </w:p>
    <w:p>
      <w:pPr>
        <w:jc w:val="left"/>
        <w:rPr>
          <w:rFonts w:hint="eastAsia"/>
          <w:color w:val="auto"/>
        </w:rPr>
      </w:pPr>
    </w:p>
    <w:p>
      <w:pPr>
        <w:jc w:val="left"/>
        <w:rPr>
          <w:rFonts w:hint="eastAsia"/>
          <w:color w:val="auto"/>
        </w:rPr>
      </w:pPr>
      <w:r>
        <w:rPr>
          <w:rFonts w:hint="eastAsia"/>
          <w:color w:val="auto"/>
        </w:rPr>
        <w:t>【证券指数思路】</w:t>
      </w:r>
    </w:p>
    <w:p>
      <w:pPr>
        <w:jc w:val="left"/>
        <w:rPr>
          <w:rFonts w:hint="eastAsia"/>
          <w:color w:val="auto"/>
        </w:rPr>
      </w:pPr>
      <w:r>
        <w:rPr>
          <w:rFonts w:hint="eastAsia"/>
          <w:color w:val="auto"/>
        </w:rPr>
        <w:t xml:space="preserve">       A股震荡上行，截至收盘，沪指涨0.88%，报3379.19点，深成指涨1.1%，报12825.57点，创业板指涨0.22%，报2830.6点，科创50指数涨0.17%。沪深两市合计成交额12288亿元，为连续第3个交易日超1万亿元；北向资金实际净买入72.66亿元.　稳增长政策持续发力下，宽松周期相关情绪回升，随着短期国内外资金的流入，市场整体出现修复，不过，海外美元收缩影响依旧，国内经济复苏力度仍有待确认，阶段性还需留意反复，密切关注近期短期投机性资金的快速流动</w:t>
      </w:r>
    </w:p>
    <w:p>
      <w:pPr>
        <w:jc w:val="left"/>
        <w:rPr>
          <w:rFonts w:hint="eastAsia"/>
          <w:color w:val="auto"/>
          <w:lang w:val="en-US" w:eastAsia="zh-CN"/>
        </w:rPr>
      </w:pPr>
    </w:p>
    <w:p>
      <w:pPr>
        <w:jc w:val="left"/>
        <w:rPr>
          <w:rFonts w:hint="eastAsia"/>
          <w:color w:val="auto"/>
          <w:lang w:val="en-US" w:eastAsia="zh-CN"/>
        </w:rPr>
      </w:pPr>
    </w:p>
    <w:p>
      <w:pPr>
        <w:jc w:val="left"/>
        <w:rPr>
          <w:rFonts w:hint="eastAsia"/>
          <w:color w:val="auto"/>
          <w:lang w:val="en-US" w:eastAsia="zh-CN"/>
        </w:rPr>
      </w:pPr>
    </w:p>
    <w:p>
      <w:pPr>
        <w:jc w:val="left"/>
        <w:rPr>
          <w:rFonts w:hint="eastAsia"/>
          <w:color w:val="auto"/>
          <w:lang w:val="en-US" w:eastAsia="zh-CN"/>
        </w:rPr>
      </w:pPr>
    </w:p>
    <w:p>
      <w:pPr>
        <w:jc w:val="left"/>
        <w:rPr>
          <w:rFonts w:hint="eastAsia"/>
          <w:color w:val="auto"/>
          <w:lang w:val="en-US" w:eastAsia="zh-CN"/>
        </w:rPr>
      </w:pPr>
    </w:p>
    <w:p>
      <w:pPr>
        <w:jc w:val="left"/>
        <w:rPr>
          <w:rFonts w:hint="eastAsia"/>
          <w:color w:val="auto"/>
          <w:lang w:val="en-US" w:eastAsia="zh-CN"/>
        </w:rPr>
      </w:pPr>
    </w:p>
    <w:p>
      <w:pPr>
        <w:jc w:val="center"/>
        <w:rPr>
          <w:rFonts w:ascii="宋体" w:hAnsi="宋体" w:cs="宋体"/>
          <w:color w:val="auto"/>
          <w:kern w:val="0"/>
          <w:szCs w:val="21"/>
          <w:lang w:eastAsia="zh-CN"/>
        </w:rPr>
      </w:pPr>
      <w:r>
        <w:rPr>
          <w:rFonts w:hint="eastAsia" w:ascii="宋体" w:hAnsi="宋体" w:cs="宋体"/>
          <w:color w:val="auto"/>
          <w:kern w:val="0"/>
          <w:szCs w:val="21"/>
          <w:lang w:eastAsia="zh-CN"/>
        </w:rPr>
        <w:t>【分品种动态】</w:t>
      </w:r>
    </w:p>
    <w:p>
      <w:pPr>
        <w:jc w:val="both"/>
        <w:rPr>
          <w:rFonts w:ascii="黑体" w:eastAsia="黑体" w:cs="宋体"/>
          <w:color w:val="auto"/>
          <w:szCs w:val="21"/>
        </w:rPr>
      </w:pPr>
    </w:p>
    <w:p>
      <w:pPr>
        <w:rPr>
          <w:rFonts w:ascii="黑体" w:eastAsia="黑体" w:cs="宋体"/>
          <w:color w:val="auto"/>
          <w:szCs w:val="21"/>
        </w:rPr>
      </w:pPr>
    </w:p>
    <w:p>
      <w:pPr>
        <w:widowControl/>
        <w:jc w:val="left"/>
        <w:rPr>
          <w:color w:val="auto"/>
          <w:szCs w:val="21"/>
        </w:rPr>
      </w:pPr>
      <w:r>
        <w:rPr>
          <w:rFonts w:hint="eastAsia" w:ascii="黑体" w:eastAsia="黑体" w:cs="黑体"/>
          <w:color w:val="auto"/>
          <w:szCs w:val="21"/>
        </w:rPr>
        <w:t>◆农产品</w:t>
      </w:r>
    </w:p>
    <w:tbl>
      <w:tblPr>
        <w:tblStyle w:val="4"/>
        <w:tblW w:w="9004" w:type="dxa"/>
        <w:tblInd w:w="-15" w:type="dxa"/>
        <w:tblLayout w:type="fixed"/>
        <w:tblCellMar>
          <w:top w:w="0" w:type="dxa"/>
          <w:left w:w="108" w:type="dxa"/>
          <w:bottom w:w="0" w:type="dxa"/>
          <w:right w:w="108" w:type="dxa"/>
        </w:tblCellMar>
      </w:tblPr>
      <w:tblGrid>
        <w:gridCol w:w="549"/>
        <w:gridCol w:w="6405"/>
        <w:gridCol w:w="2050"/>
      </w:tblGrid>
      <w:tr>
        <w:tblPrEx>
          <w:tblCellMar>
            <w:top w:w="0" w:type="dxa"/>
            <w:left w:w="108" w:type="dxa"/>
            <w:bottom w:w="0" w:type="dxa"/>
            <w:right w:w="108" w:type="dxa"/>
          </w:tblCellMar>
        </w:tblPrEx>
        <w:trPr>
          <w:trHeight w:val="507" w:hRule="atLeast"/>
        </w:trPr>
        <w:tc>
          <w:tcPr>
            <w:tcW w:w="549" w:type="dxa"/>
            <w:tcBorders>
              <w:top w:val="single" w:color="000000" w:sz="4" w:space="0"/>
              <w:left w:val="single" w:color="000000" w:sz="4" w:space="0"/>
              <w:bottom w:val="single" w:color="000000" w:sz="4" w:space="0"/>
              <w:right w:val="nil"/>
            </w:tcBorders>
          </w:tcPr>
          <w:p>
            <w:pPr>
              <w:widowControl/>
              <w:snapToGrid w:val="0"/>
              <w:jc w:val="left"/>
              <w:rPr>
                <w:rFonts w:ascii="宋体" w:hAnsi="宋体"/>
                <w:color w:val="auto"/>
                <w:szCs w:val="21"/>
              </w:rPr>
            </w:pPr>
          </w:p>
        </w:tc>
        <w:tc>
          <w:tcPr>
            <w:tcW w:w="6405" w:type="dxa"/>
            <w:tcBorders>
              <w:top w:val="single" w:color="000000" w:sz="4" w:space="0"/>
              <w:left w:val="single" w:color="000000" w:sz="4" w:space="0"/>
              <w:bottom w:val="single" w:color="000000" w:sz="4" w:space="0"/>
              <w:right w:val="nil"/>
            </w:tcBorders>
            <w:vAlign w:val="center"/>
          </w:tcPr>
          <w:p>
            <w:pPr>
              <w:widowControl/>
              <w:rPr>
                <w:rFonts w:ascii="宋体" w:hAnsi="宋体" w:cs="宋体"/>
                <w:b/>
                <w:color w:val="auto"/>
                <w:szCs w:val="21"/>
              </w:rPr>
            </w:pPr>
            <w:r>
              <w:rPr>
                <w:rFonts w:hint="eastAsia" w:ascii="宋体" w:hAnsi="宋体" w:cs="宋体"/>
                <w:b/>
                <w:color w:val="auto"/>
                <w:szCs w:val="21"/>
              </w:rPr>
              <w:t>内外盘综述</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b/>
                <w:color w:val="auto"/>
                <w:szCs w:val="21"/>
              </w:rPr>
            </w:pPr>
            <w:r>
              <w:rPr>
                <w:rFonts w:hint="eastAsia" w:ascii="宋体" w:hAnsi="宋体" w:cs="宋体"/>
                <w:b/>
                <w:color w:val="auto"/>
                <w:szCs w:val="21"/>
              </w:rPr>
              <w:t>简评及操作策略</w:t>
            </w:r>
          </w:p>
        </w:tc>
      </w:tr>
      <w:tr>
        <w:tblPrEx>
          <w:tblCellMar>
            <w:top w:w="0" w:type="dxa"/>
            <w:left w:w="108" w:type="dxa"/>
            <w:bottom w:w="0" w:type="dxa"/>
            <w:right w:w="108" w:type="dxa"/>
          </w:tblCellMar>
        </w:tblPrEx>
        <w:trPr>
          <w:trHeight w:val="669" w:hRule="atLeast"/>
        </w:trPr>
        <w:tc>
          <w:tcPr>
            <w:tcW w:w="549" w:type="dxa"/>
            <w:tcBorders>
              <w:top w:val="single" w:color="000000" w:sz="4" w:space="0"/>
              <w:left w:val="single" w:color="000000" w:sz="4" w:space="0"/>
              <w:bottom w:val="single" w:color="000000" w:sz="4" w:space="0"/>
              <w:right w:val="nil"/>
            </w:tcBorders>
          </w:tcPr>
          <w:p>
            <w:pPr>
              <w:widowControl/>
              <w:snapToGrid w:val="0"/>
              <w:jc w:val="left"/>
              <w:rPr>
                <w:rFonts w:ascii="宋体" w:hAnsi="宋体" w:cs="宋体"/>
                <w:b/>
                <w:color w:val="auto"/>
                <w:kern w:val="0"/>
                <w:szCs w:val="21"/>
                <w:lang w:eastAsia="zh-CN"/>
              </w:rPr>
            </w:pPr>
            <w:r>
              <w:rPr>
                <w:rFonts w:hint="eastAsia" w:ascii="宋体" w:hAnsi="宋体" w:cs="宋体"/>
                <w:b/>
                <w:color w:val="auto"/>
                <w:kern w:val="0"/>
                <w:szCs w:val="21"/>
                <w:lang w:eastAsia="zh-CN"/>
              </w:rPr>
              <w:t>豆粕</w:t>
            </w:r>
          </w:p>
        </w:tc>
        <w:tc>
          <w:tcPr>
            <w:tcW w:w="6405" w:type="dxa"/>
            <w:tcBorders>
              <w:top w:val="single" w:color="000000" w:sz="4" w:space="0"/>
              <w:left w:val="single" w:color="000000" w:sz="4" w:space="0"/>
              <w:bottom w:val="single" w:color="000000" w:sz="4" w:space="0"/>
              <w:right w:val="nil"/>
            </w:tcBorders>
          </w:tcPr>
          <w:p>
            <w:pPr>
              <w:ind w:firstLine="840" w:firstLineChars="400"/>
              <w:rPr>
                <w:rFonts w:hint="default" w:eastAsia="宋体"/>
                <w:color w:val="auto"/>
                <w:lang w:val="en-US" w:eastAsia="zh-CN"/>
              </w:rPr>
            </w:pPr>
            <w:r>
              <w:rPr>
                <w:rFonts w:hint="eastAsia"/>
                <w:color w:val="auto"/>
              </w:rPr>
              <w:t>隔夜外围美元收低于103.94部位；人民币离岸价收贬于6.686。欧美股市美弱欧强，小幅波动。市场缺乏驱动，受制于通胀忧虑和美联储加息的博弈局面。美原油主力8月上涨1.63美元，报每桶109.21美元。投资者等待在德国举办的G7领导人会议上，任何针对俄罗斯石油和天然气出口的新的规定。芝加哥(CBOT)大豆收高，交易商称，因上周大幅下跌后出现空头回补，以及美国现货市场在旧作大豆供应减少的情况下坚挺。CBOT 7月大豆收涨19-3/4美分，结算价报每蒲式耳16.30-1/2美元，11月新作大豆合约收涨8-1/2美分，结算价报14.32-3/4美元。豆粕和豆油期货走强带来支撑。7月豆粕收涨10.10美元，结算价报每短吨442.70美元。7月豆油收涨1.07美分，结算价报每磅70.82美分。12月豆油上涨0.73美分，结算价报每磅65.68美分。美国农业部周度出口检验报告显示，截至2022年6月23日当周，美国大豆出口检验量为46.8万吨，与市场预估的30-57.5万吨相符。当周，对中国大陆的大豆出口检验量为8.1万吨，占出口检验总量的17.2%。咨询机构战略谷物（Strategie Grains）表示，受预计收成增加以及从乌克兰持续进口的影响，欧盟油菜籽和葵花籽价格预计将在2022/23年度从本年度的高位回落。分析人士预计，美国农业部周四公布的数据将显示，与3月的预测相比，美国大豆和春小麦种植面积料将减少。盘后，美国农业部在每周作物生长报告中公布称，截至2022年6月26日当周，美国大豆生长优良率为65%，而分析师平均预估为68%，前一周为68%，去年同期为60%。</w:t>
            </w:r>
          </w:p>
        </w:tc>
        <w:tc>
          <w:tcPr>
            <w:tcW w:w="2050" w:type="dxa"/>
            <w:tcBorders>
              <w:top w:val="single" w:color="000000" w:sz="4" w:space="0"/>
              <w:left w:val="single" w:color="000000" w:sz="4" w:space="0"/>
              <w:bottom w:val="single" w:color="000000" w:sz="4" w:space="0"/>
              <w:right w:val="single" w:color="000000" w:sz="4" w:space="0"/>
            </w:tcBorders>
          </w:tcPr>
          <w:p>
            <w:pPr>
              <w:widowControl/>
              <w:suppressAutoHyphens w:val="0"/>
              <w:jc w:val="left"/>
              <w:rPr>
                <w:rFonts w:hint="eastAsia"/>
                <w:b/>
                <w:color w:val="auto"/>
                <w:lang w:eastAsia="zh-CN"/>
              </w:rPr>
            </w:pPr>
            <w:r>
              <w:rPr>
                <w:rFonts w:hint="eastAsia"/>
                <w:b/>
                <w:color w:val="auto"/>
                <w:lang w:eastAsia="zh-CN"/>
              </w:rPr>
              <w:t>框架如前，美豆自高价圈区间低沿反弹。面积天气将随着周四晚报告而落定，而单产天气才刚刚开始。大连盘跟随。9月油粕比在2.65；粕9－1逆差在226点。粕9日内看围绕3850的波动，宜灵活。　　</w:t>
            </w:r>
          </w:p>
          <w:p>
            <w:pPr>
              <w:widowControl/>
              <w:suppressAutoHyphens w:val="0"/>
              <w:jc w:val="left"/>
              <w:rPr>
                <w:rFonts w:hint="eastAsia"/>
                <w:b/>
                <w:color w:val="auto"/>
                <w:lang w:eastAsia="zh-CN"/>
              </w:rPr>
            </w:pPr>
          </w:p>
          <w:p>
            <w:pPr>
              <w:widowControl/>
              <w:suppressAutoHyphens w:val="0"/>
              <w:jc w:val="left"/>
              <w:rPr>
                <w:b/>
                <w:color w:val="auto"/>
                <w:lang w:eastAsia="zh-CN"/>
              </w:rPr>
            </w:pPr>
            <w:r>
              <w:rPr>
                <w:rFonts w:hint="eastAsia"/>
                <w:b/>
                <w:color w:val="auto"/>
                <w:lang w:eastAsia="zh-CN"/>
              </w:rPr>
              <w:t>（</w:t>
            </w:r>
            <w:r>
              <w:rPr>
                <w:rFonts w:hint="eastAsia"/>
                <w:b/>
                <w:color w:val="auto"/>
                <w:lang w:eastAsia="zh-CN"/>
              </w:rPr>
              <w:t>农产品部）</w:t>
            </w:r>
          </w:p>
        </w:tc>
      </w:tr>
      <w:tr>
        <w:tblPrEx>
          <w:tblCellMar>
            <w:top w:w="0" w:type="dxa"/>
            <w:left w:w="108" w:type="dxa"/>
            <w:bottom w:w="0" w:type="dxa"/>
            <w:right w:w="108" w:type="dxa"/>
          </w:tblCellMar>
        </w:tblPrEx>
        <w:trPr>
          <w:trHeight w:val="669" w:hRule="atLeast"/>
        </w:trPr>
        <w:tc>
          <w:tcPr>
            <w:tcW w:w="549" w:type="dxa"/>
            <w:tcBorders>
              <w:top w:val="single" w:color="000000" w:sz="4" w:space="0"/>
              <w:left w:val="single" w:color="000000" w:sz="4" w:space="0"/>
              <w:bottom w:val="single" w:color="000000" w:sz="4" w:space="0"/>
              <w:right w:val="nil"/>
            </w:tcBorders>
            <w:vAlign w:val="top"/>
          </w:tcPr>
          <w:p>
            <w:pPr>
              <w:widowControl/>
              <w:snapToGrid w:val="0"/>
              <w:jc w:val="left"/>
              <w:rPr>
                <w:rFonts w:hint="default" w:ascii="宋体" w:hAnsi="宋体" w:eastAsia="宋体" w:cs="宋体"/>
                <w:b/>
                <w:color w:val="auto"/>
                <w:kern w:val="0"/>
                <w:sz w:val="21"/>
                <w:szCs w:val="21"/>
                <w:lang w:val="en-US" w:eastAsia="zh-CN" w:bidi="ar-SA"/>
              </w:rPr>
            </w:pPr>
            <w:r>
              <w:rPr>
                <w:rFonts w:hint="eastAsia" w:ascii="宋体" w:hAnsi="宋体" w:cs="宋体"/>
                <w:b/>
                <w:color w:val="auto"/>
                <w:kern w:val="0"/>
                <w:sz w:val="21"/>
                <w:szCs w:val="21"/>
                <w:lang w:val="en-US" w:eastAsia="zh-CN" w:bidi="ar-SA"/>
              </w:rPr>
              <w:t>棉花</w:t>
            </w:r>
          </w:p>
        </w:tc>
        <w:tc>
          <w:tcPr>
            <w:tcW w:w="6405" w:type="dxa"/>
            <w:tcBorders>
              <w:top w:val="single" w:color="000000" w:sz="4" w:space="0"/>
              <w:left w:val="single" w:color="000000" w:sz="4" w:space="0"/>
              <w:bottom w:val="single" w:color="000000" w:sz="4" w:space="0"/>
              <w:right w:val="nil"/>
            </w:tcBorders>
            <w:vAlign w:val="top"/>
          </w:tcPr>
          <w:p>
            <w:pPr>
              <w:ind w:firstLine="840" w:firstLineChars="400"/>
              <w:rPr>
                <w:rFonts w:hint="eastAsia"/>
                <w:color w:val="auto"/>
              </w:rPr>
            </w:pPr>
            <w:r>
              <w:rPr>
                <w:rFonts w:hint="eastAsia"/>
                <w:color w:val="auto"/>
              </w:rPr>
              <w:t>原油反弹。</w:t>
            </w:r>
          </w:p>
          <w:p>
            <w:pPr>
              <w:ind w:firstLine="840" w:firstLineChars="400"/>
              <w:rPr>
                <w:rFonts w:hint="eastAsia"/>
                <w:color w:val="auto"/>
              </w:rPr>
            </w:pPr>
            <w:r>
              <w:rPr>
                <w:rFonts w:hint="eastAsia"/>
                <w:color w:val="auto"/>
              </w:rPr>
              <w:t>美棉延续大跌，12月合约跌至94美分。均线乖离率大。</w:t>
            </w:r>
          </w:p>
          <w:p>
            <w:pPr>
              <w:ind w:firstLine="840" w:firstLineChars="400"/>
              <w:rPr>
                <w:rFonts w:hint="eastAsia"/>
                <w:color w:val="auto"/>
              </w:rPr>
            </w:pPr>
            <w:r>
              <w:rPr>
                <w:rFonts w:hint="eastAsia"/>
                <w:color w:val="auto"/>
              </w:rPr>
              <w:t>郑棉暴跌，9月合约最新价格16715元，1月合约16235元附近。均线乖离率大。</w:t>
            </w:r>
          </w:p>
          <w:p>
            <w:pPr>
              <w:ind w:firstLine="840" w:firstLineChars="400"/>
              <w:rPr>
                <w:rFonts w:hint="eastAsia"/>
                <w:color w:val="auto"/>
              </w:rPr>
            </w:pPr>
            <w:r>
              <w:rPr>
                <w:rFonts w:hint="eastAsia"/>
                <w:color w:val="auto"/>
              </w:rPr>
              <w:t>现货价格18603元附近。基差在2000元附近。9-1月间差在500元附近。</w:t>
            </w:r>
          </w:p>
          <w:p>
            <w:pPr>
              <w:ind w:firstLine="840" w:firstLineChars="400"/>
              <w:rPr>
                <w:rFonts w:hint="eastAsia"/>
                <w:color w:val="auto"/>
              </w:rPr>
            </w:pPr>
            <w:r>
              <w:rPr>
                <w:rFonts w:hint="eastAsia"/>
                <w:color w:val="auto"/>
              </w:rPr>
              <w:t>内外市场的快速下跌，主要逻辑：南半球新棉上市，补充供应，结构性紧张缓解；全球需求见顶；逼仓结束；天气降雨。</w:t>
            </w:r>
          </w:p>
          <w:p>
            <w:pPr>
              <w:ind w:firstLine="840" w:firstLineChars="400"/>
              <w:rPr>
                <w:rFonts w:hint="eastAsia"/>
                <w:color w:val="auto"/>
              </w:rPr>
            </w:pPr>
            <w:r>
              <w:rPr>
                <w:rFonts w:hint="eastAsia"/>
                <w:color w:val="auto"/>
              </w:rPr>
              <w:t>国内销售压力大，消费弱势，是国内下跌领跌的原因。</w:t>
            </w:r>
          </w:p>
          <w:p>
            <w:pPr>
              <w:ind w:firstLine="840" w:firstLineChars="400"/>
              <w:rPr>
                <w:rFonts w:hint="eastAsia"/>
                <w:color w:val="auto"/>
              </w:rPr>
            </w:pPr>
            <w:r>
              <w:rPr>
                <w:rFonts w:hint="eastAsia"/>
                <w:color w:val="auto"/>
              </w:rPr>
              <w:t>然而这么快速的大跌，我个人认为过于情绪化。从基本面上看，棉花一路从高点看空下来，但跌到16000元附近的价格实在不能用基本面来解释。</w:t>
            </w:r>
          </w:p>
          <w:p>
            <w:pPr>
              <w:ind w:firstLine="840" w:firstLineChars="400"/>
              <w:rPr>
                <w:rFonts w:hint="eastAsia" w:ascii="Times New Roman" w:hAnsi="Times New Roman" w:eastAsia="宋体" w:cs="Times New Roman"/>
                <w:color w:val="auto"/>
                <w:kern w:val="2"/>
                <w:sz w:val="21"/>
                <w:lang w:val="en-US" w:eastAsia="zh-CN" w:bidi="ar-SA"/>
              </w:rPr>
            </w:pPr>
            <w:r>
              <w:rPr>
                <w:rFonts w:hint="eastAsia"/>
                <w:color w:val="auto"/>
              </w:rPr>
              <w:t>美棉库存60-70万吨，低库存没改变。国内大跌，市场可流通棉花减少，很多企业出现封盘不卖。综上，经过大跌，关注政策面的消息，包括交易所的政策；考虑新疆棉禁令，当前纺织淡季，疫情管控等因素，棉花弱势延续。</w:t>
            </w:r>
          </w:p>
        </w:tc>
        <w:tc>
          <w:tcPr>
            <w:tcW w:w="2050" w:type="dxa"/>
            <w:tcBorders>
              <w:top w:val="single" w:color="000000" w:sz="4" w:space="0"/>
              <w:left w:val="single" w:color="000000" w:sz="4" w:space="0"/>
              <w:bottom w:val="single" w:color="000000" w:sz="4" w:space="0"/>
              <w:right w:val="single" w:color="000000" w:sz="4" w:space="0"/>
            </w:tcBorders>
            <w:vAlign w:val="top"/>
          </w:tcPr>
          <w:p>
            <w:pPr>
              <w:widowControl/>
              <w:suppressAutoHyphens w:val="0"/>
              <w:jc w:val="left"/>
              <w:rPr>
                <w:rFonts w:hint="eastAsia"/>
                <w:b/>
                <w:color w:val="auto"/>
                <w:lang w:eastAsia="zh-CN"/>
              </w:rPr>
            </w:pPr>
            <w:r>
              <w:rPr>
                <w:rFonts w:hint="eastAsia"/>
                <w:b/>
                <w:color w:val="auto"/>
                <w:lang w:eastAsia="zh-CN"/>
              </w:rPr>
              <w:t>操作上，空仓观望。</w:t>
            </w:r>
          </w:p>
          <w:p>
            <w:pPr>
              <w:widowControl/>
              <w:suppressAutoHyphens w:val="0"/>
              <w:jc w:val="left"/>
              <w:rPr>
                <w:rFonts w:hint="eastAsia"/>
                <w:b/>
                <w:color w:val="auto"/>
                <w:lang w:eastAsia="zh-CN"/>
              </w:rPr>
            </w:pPr>
          </w:p>
          <w:p>
            <w:pPr>
              <w:widowControl/>
              <w:suppressAutoHyphens w:val="0"/>
              <w:jc w:val="left"/>
              <w:rPr>
                <w:rFonts w:hint="eastAsia" w:ascii="Times New Roman" w:hAnsi="Times New Roman" w:eastAsia="宋体" w:cs="Times New Roman"/>
                <w:b/>
                <w:color w:val="auto"/>
                <w:kern w:val="2"/>
                <w:sz w:val="21"/>
                <w:lang w:val="en-US" w:eastAsia="zh-CN" w:bidi="ar-SA"/>
              </w:rPr>
            </w:pPr>
            <w:r>
              <w:rPr>
                <w:rFonts w:hint="eastAsia"/>
                <w:b/>
                <w:color w:val="auto"/>
                <w:lang w:eastAsia="zh-CN"/>
              </w:rPr>
              <w:t>（</w:t>
            </w:r>
            <w:r>
              <w:rPr>
                <w:rFonts w:hint="eastAsia"/>
                <w:b/>
                <w:color w:val="auto"/>
                <w:lang w:val="en-US" w:eastAsia="zh-CN"/>
              </w:rPr>
              <w:t>苗玲</w:t>
            </w:r>
            <w:r>
              <w:rPr>
                <w:rFonts w:hint="eastAsia"/>
                <w:b/>
                <w:color w:val="auto"/>
                <w:lang w:eastAsia="zh-CN"/>
              </w:rPr>
              <w:t>）</w:t>
            </w:r>
          </w:p>
        </w:tc>
      </w:tr>
    </w:tbl>
    <w:p>
      <w:pPr>
        <w:widowControl/>
        <w:jc w:val="left"/>
        <w:rPr>
          <w:rFonts w:ascii="黑体" w:eastAsia="黑体" w:cs="宋体"/>
          <w:color w:val="auto"/>
          <w:szCs w:val="21"/>
        </w:rPr>
        <w:sectPr>
          <w:headerReference r:id="rId3" w:type="default"/>
          <w:footerReference r:id="rId4" w:type="default"/>
          <w:pgSz w:w="11906" w:h="16838"/>
          <w:pgMar w:top="907" w:right="1797" w:bottom="1134" w:left="1797" w:header="510" w:footer="992" w:gutter="0"/>
          <w:cols w:space="720" w:num="1"/>
          <w:docGrid w:type="lines" w:linePitch="312" w:charSpace="0"/>
        </w:sectPr>
      </w:pPr>
      <w:r>
        <w:rPr>
          <w:rFonts w:hint="eastAsia" w:ascii="黑体" w:eastAsia="黑体" w:cs="宋体"/>
          <w:color w:val="auto"/>
          <w:szCs w:val="21"/>
        </w:rPr>
        <w:t>◆工业品</w:t>
      </w:r>
    </w:p>
    <w:p>
      <w:pPr>
        <w:rPr>
          <w:color w:val="auto"/>
          <w:szCs w:val="21"/>
        </w:rPr>
        <w:sectPr>
          <w:type w:val="continuous"/>
          <w:pgSz w:w="11906" w:h="16838"/>
          <w:pgMar w:top="1440" w:right="1797" w:bottom="1134" w:left="1797" w:header="851" w:footer="992" w:gutter="0"/>
          <w:cols w:space="720" w:num="1"/>
          <w:docGrid w:type="lines" w:linePitch="312" w:charSpace="0"/>
        </w:sectPr>
      </w:pPr>
    </w:p>
    <w:tbl>
      <w:tblPr>
        <w:tblStyle w:val="4"/>
        <w:tblW w:w="8994" w:type="dxa"/>
        <w:tblInd w:w="0" w:type="dxa"/>
        <w:tblLayout w:type="fixed"/>
        <w:tblCellMar>
          <w:top w:w="0" w:type="dxa"/>
          <w:left w:w="108" w:type="dxa"/>
          <w:bottom w:w="0" w:type="dxa"/>
          <w:right w:w="108" w:type="dxa"/>
        </w:tblCellMar>
      </w:tblPr>
      <w:tblGrid>
        <w:gridCol w:w="534"/>
        <w:gridCol w:w="6410"/>
        <w:gridCol w:w="2050"/>
      </w:tblGrid>
      <w:tr>
        <w:tblPrEx>
          <w:tblCellMar>
            <w:top w:w="0" w:type="dxa"/>
            <w:left w:w="108" w:type="dxa"/>
            <w:bottom w:w="0" w:type="dxa"/>
            <w:right w:w="108" w:type="dxa"/>
          </w:tblCellMar>
        </w:tblPrEx>
        <w:trPr>
          <w:cantSplit/>
          <w:trHeight w:val="480" w:hRule="atLeast"/>
        </w:trPr>
        <w:tc>
          <w:tcPr>
            <w:tcW w:w="534" w:type="dxa"/>
            <w:tcBorders>
              <w:top w:val="single" w:color="000000" w:sz="4" w:space="0"/>
              <w:left w:val="single" w:color="000000" w:sz="4" w:space="0"/>
              <w:bottom w:val="single" w:color="000000" w:sz="4" w:space="0"/>
              <w:right w:val="nil"/>
            </w:tcBorders>
          </w:tcPr>
          <w:p>
            <w:pPr>
              <w:widowControl/>
              <w:snapToGrid w:val="0"/>
              <w:jc w:val="left"/>
              <w:rPr>
                <w:rFonts w:ascii="宋体" w:hAnsi="宋体" w:cs="黑体"/>
                <w:color w:val="auto"/>
                <w:szCs w:val="21"/>
              </w:rPr>
            </w:pPr>
          </w:p>
        </w:tc>
        <w:tc>
          <w:tcPr>
            <w:tcW w:w="6410" w:type="dxa"/>
            <w:tcBorders>
              <w:top w:val="single" w:color="000000" w:sz="4" w:space="0"/>
              <w:left w:val="single" w:color="000000" w:sz="4" w:space="0"/>
              <w:bottom w:val="single" w:color="000000" w:sz="4" w:space="0"/>
              <w:right w:val="nil"/>
            </w:tcBorders>
            <w:vAlign w:val="center"/>
          </w:tcPr>
          <w:p>
            <w:pPr>
              <w:rPr>
                <w:rFonts w:ascii="宋体" w:hAnsi="宋体" w:cs="宋体"/>
                <w:b/>
                <w:color w:val="auto"/>
                <w:szCs w:val="21"/>
              </w:rPr>
            </w:pPr>
            <w:r>
              <w:rPr>
                <w:rFonts w:hint="eastAsia" w:ascii="宋体" w:hAnsi="宋体" w:cs="宋体"/>
                <w:b/>
                <w:color w:val="auto"/>
                <w:szCs w:val="21"/>
              </w:rPr>
              <w:t>内外盘综述</w:t>
            </w:r>
          </w:p>
        </w:tc>
        <w:tc>
          <w:tcPr>
            <w:tcW w:w="20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b/>
                <w:color w:val="auto"/>
                <w:szCs w:val="21"/>
              </w:rPr>
            </w:pPr>
            <w:r>
              <w:rPr>
                <w:rFonts w:hint="eastAsia" w:ascii="宋体" w:hAnsi="宋体" w:cs="宋体"/>
                <w:b/>
                <w:color w:val="auto"/>
                <w:szCs w:val="21"/>
              </w:rPr>
              <w:t>简评及操作策略</w:t>
            </w:r>
          </w:p>
        </w:tc>
      </w:tr>
      <w:tr>
        <w:tblPrEx>
          <w:tblCellMar>
            <w:top w:w="0" w:type="dxa"/>
            <w:left w:w="108" w:type="dxa"/>
            <w:bottom w:w="0" w:type="dxa"/>
            <w:right w:w="108" w:type="dxa"/>
          </w:tblCellMar>
        </w:tblPrEx>
        <w:trPr>
          <w:cantSplit/>
          <w:trHeight w:val="2181" w:hRule="atLeast"/>
        </w:trPr>
        <w:tc>
          <w:tcPr>
            <w:tcW w:w="534" w:type="dxa"/>
            <w:tcBorders>
              <w:top w:val="single" w:color="000000" w:sz="4" w:space="0"/>
              <w:left w:val="single" w:color="000000" w:sz="4" w:space="0"/>
              <w:bottom w:val="single" w:color="000000" w:sz="4" w:space="0"/>
              <w:right w:val="nil"/>
            </w:tcBorders>
          </w:tcPr>
          <w:p>
            <w:pPr>
              <w:widowControl/>
              <w:jc w:val="left"/>
              <w:rPr>
                <w:rFonts w:hint="default" w:ascii="宋体" w:hAnsi="宋体" w:cs="宋体"/>
                <w:b/>
                <w:color w:val="auto"/>
                <w:kern w:val="0"/>
                <w:szCs w:val="21"/>
                <w:lang w:val="en-US" w:eastAsia="zh-CN"/>
              </w:rPr>
            </w:pPr>
            <w:r>
              <w:rPr>
                <w:rFonts w:hint="eastAsia" w:ascii="宋体" w:hAnsi="宋体" w:cs="宋体"/>
                <w:b/>
                <w:color w:val="auto"/>
                <w:kern w:val="0"/>
                <w:szCs w:val="21"/>
                <w:lang w:val="en-US" w:eastAsia="zh-CN"/>
              </w:rPr>
              <w:t>钢材</w:t>
            </w:r>
          </w:p>
        </w:tc>
        <w:tc>
          <w:tcPr>
            <w:tcW w:w="6410" w:type="dxa"/>
            <w:tcBorders>
              <w:top w:val="single" w:color="000000" w:sz="4" w:space="0"/>
              <w:left w:val="single" w:color="000000" w:sz="4" w:space="0"/>
              <w:bottom w:val="single" w:color="000000" w:sz="4" w:space="0"/>
              <w:right w:val="nil"/>
            </w:tcBorders>
          </w:tcPr>
          <w:p>
            <w:pPr>
              <w:widowControl/>
              <w:suppressAutoHyphens w:val="0"/>
              <w:ind w:firstLine="630" w:firstLineChars="300"/>
              <w:jc w:val="left"/>
              <w:rPr>
                <w:rFonts w:hint="eastAsia"/>
                <w:color w:val="auto"/>
              </w:rPr>
            </w:pPr>
            <w:r>
              <w:rPr>
                <w:rFonts w:hint="eastAsia"/>
                <w:color w:val="auto"/>
              </w:rPr>
              <w:t>钢材价格周一震荡偏强走势，螺纹2210合约收于4272，热卷2210合约收于4329。现货方面，27日唐山普方坯出厂价报3960（+60），上海地区螺纹钢现货价格(HRB400 20mm)4300元（+40），热卷现货价格(4.75mm)4380元（+70）。</w:t>
            </w:r>
          </w:p>
          <w:p>
            <w:pPr>
              <w:widowControl/>
              <w:suppressAutoHyphens w:val="0"/>
              <w:ind w:firstLine="630" w:firstLineChars="300"/>
              <w:jc w:val="left"/>
              <w:rPr>
                <w:rFonts w:hint="eastAsia"/>
                <w:color w:val="auto"/>
              </w:rPr>
            </w:pPr>
            <w:r>
              <w:rPr>
                <w:rFonts w:hint="eastAsia"/>
                <w:color w:val="auto"/>
              </w:rPr>
              <w:t>6月，地方债发行规模将达到1.93万亿，创出历史新高。在本周发行结束后，6月末新增专项债发行将达到3.4万亿，基本完成目标任务。</w:t>
            </w:r>
          </w:p>
          <w:p>
            <w:pPr>
              <w:widowControl/>
              <w:suppressAutoHyphens w:val="0"/>
              <w:ind w:firstLine="630" w:firstLineChars="300"/>
              <w:jc w:val="left"/>
              <w:rPr>
                <w:rFonts w:hint="eastAsia"/>
                <w:color w:val="auto"/>
              </w:rPr>
            </w:pPr>
            <w:r>
              <w:rPr>
                <w:rFonts w:hint="eastAsia"/>
                <w:color w:val="auto"/>
              </w:rPr>
              <w:t>中指研究院数据显示，6月以来，一线城市楼市成交量环比上升。上海、北京、广州成交量环比增幅居前。二三线城市中，有超过八成的城市成交量环比上升，苏州涨幅显著。业内人士指出，预计下半年楼市成交将呈现逐月修复态势，同比降幅有望不断收窄。</w:t>
            </w:r>
          </w:p>
          <w:p>
            <w:pPr>
              <w:widowControl/>
              <w:suppressAutoHyphens w:val="0"/>
              <w:ind w:firstLine="630" w:firstLineChars="300"/>
              <w:jc w:val="left"/>
              <w:rPr>
                <w:rFonts w:hint="eastAsia" w:eastAsia="宋体"/>
                <w:color w:val="auto"/>
                <w:lang w:val="en-US" w:eastAsia="zh-CN"/>
              </w:rPr>
            </w:pPr>
            <w:r>
              <w:rPr>
                <w:rFonts w:hint="eastAsia"/>
                <w:color w:val="auto"/>
              </w:rPr>
              <w:t>钢材价格上周有所企稳，阶段性供需层面的悲观情绪一定程度得到释放。供应端由于当前钢厂利润的低迷，各地长流程检修逐渐增多，mysteel周度高炉数据环比小幅下降，短流程电炉开工率持续维持低位，由于卷螺消费端的差异，钢厂产量更多向热卷倾斜。消费端短期内在南方汛情、北方高温的情况下维持弱势难有明显改善。</w:t>
            </w:r>
          </w:p>
        </w:tc>
        <w:tc>
          <w:tcPr>
            <w:tcW w:w="2050" w:type="dxa"/>
            <w:tcBorders>
              <w:top w:val="single" w:color="000000" w:sz="4" w:space="0"/>
              <w:left w:val="single" w:color="000000" w:sz="4" w:space="0"/>
              <w:bottom w:val="single" w:color="000000" w:sz="4" w:space="0"/>
              <w:right w:val="single" w:color="000000" w:sz="4" w:space="0"/>
            </w:tcBorders>
          </w:tcPr>
          <w:p>
            <w:pPr>
              <w:rPr>
                <w:rFonts w:hint="eastAsia"/>
                <w:b/>
                <w:color w:val="auto"/>
                <w:lang w:eastAsia="zh-CN"/>
              </w:rPr>
            </w:pPr>
            <w:r>
              <w:rPr>
                <w:rFonts w:hint="eastAsia"/>
                <w:b/>
                <w:color w:val="auto"/>
                <w:lang w:eastAsia="zh-CN"/>
              </w:rPr>
              <w:t>短期内钢材维持震荡看法，观望为主，关注后续压产情况及房地产数据变化。</w:t>
            </w:r>
          </w:p>
          <w:p>
            <w:pPr>
              <w:rPr>
                <w:rFonts w:hint="eastAsia"/>
                <w:b/>
                <w:color w:val="auto"/>
                <w:lang w:eastAsia="zh-CN"/>
              </w:rPr>
            </w:pPr>
          </w:p>
          <w:p>
            <w:pPr>
              <w:rPr>
                <w:b/>
                <w:color w:val="auto"/>
                <w:lang w:eastAsia="zh-CN"/>
              </w:rPr>
            </w:pPr>
            <w:r>
              <w:rPr>
                <w:rFonts w:hint="eastAsia"/>
                <w:b/>
                <w:color w:val="auto"/>
                <w:lang w:eastAsia="zh-CN"/>
              </w:rPr>
              <w:t>(</w:t>
            </w:r>
            <w:r>
              <w:rPr>
                <w:rFonts w:hint="eastAsia"/>
                <w:b/>
                <w:color w:val="auto"/>
                <w:lang w:eastAsia="zh-CN"/>
              </w:rPr>
              <w:t>黄天罡)</w:t>
            </w:r>
          </w:p>
        </w:tc>
      </w:tr>
      <w:tr>
        <w:tblPrEx>
          <w:tblCellMar>
            <w:top w:w="0" w:type="dxa"/>
            <w:left w:w="108" w:type="dxa"/>
            <w:bottom w:w="0" w:type="dxa"/>
            <w:right w:w="108" w:type="dxa"/>
          </w:tblCellMar>
        </w:tblPrEx>
        <w:trPr>
          <w:cantSplit/>
          <w:trHeight w:val="2181" w:hRule="atLeast"/>
        </w:trPr>
        <w:tc>
          <w:tcPr>
            <w:tcW w:w="534" w:type="dxa"/>
            <w:tcBorders>
              <w:top w:val="single" w:color="000000" w:sz="4" w:space="0"/>
              <w:left w:val="single" w:color="000000" w:sz="4" w:space="0"/>
              <w:bottom w:val="single" w:color="000000" w:sz="4" w:space="0"/>
              <w:right w:val="nil"/>
            </w:tcBorders>
          </w:tcPr>
          <w:p>
            <w:pPr>
              <w:widowControl/>
              <w:jc w:val="left"/>
              <w:rPr>
                <w:rFonts w:ascii="宋体" w:hAnsi="宋体" w:cs="宋体"/>
                <w:b/>
                <w:color w:val="auto"/>
                <w:kern w:val="0"/>
                <w:szCs w:val="21"/>
                <w:lang w:eastAsia="zh-CN"/>
              </w:rPr>
            </w:pPr>
            <w:r>
              <w:rPr>
                <w:rFonts w:hint="eastAsia" w:ascii="宋体" w:hAnsi="宋体" w:cs="宋体"/>
                <w:b/>
                <w:color w:val="auto"/>
                <w:kern w:val="0"/>
                <w:szCs w:val="21"/>
                <w:lang w:eastAsia="zh-CN"/>
              </w:rPr>
              <w:t>铁矿石</w:t>
            </w:r>
          </w:p>
        </w:tc>
        <w:tc>
          <w:tcPr>
            <w:tcW w:w="6410" w:type="dxa"/>
            <w:tcBorders>
              <w:top w:val="single" w:color="000000" w:sz="4" w:space="0"/>
              <w:left w:val="single" w:color="000000" w:sz="4" w:space="0"/>
              <w:bottom w:val="single" w:color="000000" w:sz="4" w:space="0"/>
              <w:right w:val="nil"/>
            </w:tcBorders>
          </w:tcPr>
          <w:p>
            <w:pPr>
              <w:widowControl/>
              <w:suppressAutoHyphens w:val="0"/>
              <w:ind w:firstLine="630" w:firstLineChars="300"/>
              <w:jc w:val="left"/>
              <w:rPr>
                <w:rFonts w:hint="eastAsia"/>
                <w:color w:val="auto"/>
                <w:lang w:val="en-US" w:eastAsia="zh-CN"/>
              </w:rPr>
            </w:pPr>
            <w:r>
              <w:rPr>
                <w:rFonts w:hint="eastAsia"/>
                <w:color w:val="auto"/>
                <w:lang w:val="en-US" w:eastAsia="zh-CN"/>
              </w:rPr>
              <w:t>昨日进口铁矿港口现货全天价格上涨21-40。青岛港PB粉831涨31，超特粉715涨30；曹妃甸港PB粉835涨34，麦克粉805涨28；天津港PB粉854涨22，混合粉770涨21；江内港PB粉855涨36，超特粉745涨40；鲅鱼圈港PB粉875涨32；防城港港PB粉840涨35。</w:t>
            </w:r>
          </w:p>
          <w:p>
            <w:pPr>
              <w:widowControl/>
              <w:suppressAutoHyphens w:val="0"/>
              <w:jc w:val="left"/>
              <w:rPr>
                <w:rFonts w:hint="eastAsia"/>
                <w:color w:val="auto"/>
                <w:lang w:val="en-US" w:eastAsia="zh-CN"/>
              </w:rPr>
            </w:pPr>
            <w:r>
              <w:rPr>
                <w:rFonts w:hint="eastAsia"/>
                <w:color w:val="auto"/>
                <w:lang w:val="en-US" w:eastAsia="zh-CN"/>
              </w:rPr>
              <w:t xml:space="preserve">      6月20日-26日，澳洲巴西19港铁矿发运总量2860.9万吨，环比增加195.9万吨。中国47港铁矿石到港总量2338.1万吨，环比减少122.4万吨。</w:t>
            </w:r>
          </w:p>
          <w:p>
            <w:pPr>
              <w:widowControl/>
              <w:suppressAutoHyphens w:val="0"/>
              <w:jc w:val="left"/>
              <w:rPr>
                <w:rFonts w:hint="eastAsia"/>
                <w:color w:val="auto"/>
                <w:lang w:val="en-US" w:eastAsia="zh-CN"/>
              </w:rPr>
            </w:pPr>
            <w:r>
              <w:rPr>
                <w:rFonts w:hint="eastAsia"/>
                <w:color w:val="auto"/>
                <w:lang w:val="en-US" w:eastAsia="zh-CN"/>
              </w:rPr>
              <w:t xml:space="preserve">        力拓宣布其在西澳皮尔巴拉矿区十多年来的首个新建铁矿项目库戴德利于近期成功出产首批矿石，该矿服务寿命预计超过40年，年产能4300万吨，于2023年实现全面达产。</w:t>
            </w:r>
          </w:p>
          <w:p>
            <w:pPr>
              <w:widowControl/>
              <w:suppressAutoHyphens w:val="0"/>
              <w:jc w:val="left"/>
              <w:rPr>
                <w:rFonts w:hint="default" w:eastAsia="宋体"/>
                <w:color w:val="auto"/>
                <w:lang w:val="en-US" w:eastAsia="zh-CN"/>
              </w:rPr>
            </w:pPr>
            <w:r>
              <w:rPr>
                <w:rFonts w:hint="eastAsia"/>
                <w:color w:val="auto"/>
                <w:lang w:val="en-US" w:eastAsia="zh-CN"/>
              </w:rPr>
              <w:t xml:space="preserve">       近期市场交易弱需求下成材压力传导至原料的负反馈，钢厂的减产检修增多，原料需求减弱，铁矿石市场承压回落，短期市场快速杀跌后，悲观情绪大幅释放，价格低位弱势震荡。</w:t>
            </w:r>
          </w:p>
        </w:tc>
        <w:tc>
          <w:tcPr>
            <w:tcW w:w="2050" w:type="dxa"/>
            <w:tcBorders>
              <w:top w:val="single" w:color="000000" w:sz="4" w:space="0"/>
              <w:left w:val="single" w:color="000000" w:sz="4" w:space="0"/>
              <w:bottom w:val="single" w:color="000000" w:sz="4" w:space="0"/>
              <w:right w:val="single" w:color="000000" w:sz="4" w:space="0"/>
            </w:tcBorders>
          </w:tcPr>
          <w:p>
            <w:pPr>
              <w:rPr>
                <w:rFonts w:hint="eastAsia"/>
                <w:b/>
                <w:color w:val="auto"/>
                <w:lang w:eastAsia="zh-CN"/>
              </w:rPr>
            </w:pPr>
            <w:r>
              <w:rPr>
                <w:rFonts w:hint="eastAsia"/>
                <w:b/>
                <w:color w:val="auto"/>
                <w:lang w:eastAsia="zh-CN"/>
              </w:rPr>
              <w:t>短线交易，不追空；中期来看，铁矿石供需全年呈现前紧后松格局，下半年供需格局逐渐宽松，总体保持逢反弹沽空思路。</w:t>
            </w:r>
          </w:p>
          <w:p>
            <w:pPr>
              <w:rPr>
                <w:rFonts w:hint="eastAsia"/>
                <w:b/>
                <w:color w:val="auto"/>
                <w:lang w:eastAsia="zh-CN"/>
              </w:rPr>
            </w:pPr>
          </w:p>
          <w:p>
            <w:pPr>
              <w:rPr>
                <w:rFonts w:hint="eastAsia"/>
                <w:b/>
                <w:color w:val="auto"/>
                <w:lang w:eastAsia="zh-CN"/>
              </w:rPr>
            </w:pPr>
            <w:r>
              <w:rPr>
                <w:rFonts w:hint="eastAsia"/>
                <w:b/>
                <w:color w:val="auto"/>
                <w:lang w:eastAsia="zh-CN"/>
              </w:rPr>
              <w:t>(杨俊</w:t>
            </w:r>
            <w:r>
              <w:rPr>
                <w:rFonts w:hint="eastAsia"/>
                <w:b/>
                <w:color w:val="auto"/>
                <w:lang w:eastAsia="zh-CN"/>
              </w:rPr>
              <w:t>林)</w:t>
            </w:r>
          </w:p>
          <w:p>
            <w:pPr>
              <w:rPr>
                <w:rFonts w:hint="eastAsia"/>
                <w:b/>
                <w:color w:val="auto"/>
                <w:lang w:eastAsia="zh-CN"/>
              </w:rPr>
            </w:pPr>
          </w:p>
        </w:tc>
      </w:tr>
      <w:tr>
        <w:tblPrEx>
          <w:tblCellMar>
            <w:top w:w="0" w:type="dxa"/>
            <w:left w:w="108" w:type="dxa"/>
            <w:bottom w:w="0" w:type="dxa"/>
            <w:right w:w="108" w:type="dxa"/>
          </w:tblCellMar>
        </w:tblPrEx>
        <w:trPr>
          <w:cantSplit/>
          <w:trHeight w:val="4922" w:hRule="atLeast"/>
        </w:trPr>
        <w:tc>
          <w:tcPr>
            <w:tcW w:w="534" w:type="dxa"/>
            <w:tcBorders>
              <w:top w:val="single" w:color="000000" w:sz="4" w:space="0"/>
              <w:left w:val="single" w:color="000000" w:sz="4" w:space="0"/>
              <w:bottom w:val="single" w:color="000000" w:sz="4" w:space="0"/>
              <w:right w:val="nil"/>
            </w:tcBorders>
          </w:tcPr>
          <w:p>
            <w:pPr>
              <w:widowControl/>
              <w:jc w:val="left"/>
              <w:rPr>
                <w:rFonts w:ascii="宋体" w:hAnsi="宋体" w:cs="宋体"/>
                <w:b/>
                <w:color w:val="auto"/>
                <w:kern w:val="0"/>
                <w:szCs w:val="21"/>
                <w:lang w:eastAsia="zh-CN"/>
              </w:rPr>
            </w:pPr>
            <w:r>
              <w:rPr>
                <w:rFonts w:hint="eastAsia" w:ascii="宋体" w:hAnsi="宋体" w:cs="宋体"/>
                <w:b/>
                <w:color w:val="auto"/>
                <w:kern w:val="0"/>
                <w:szCs w:val="21"/>
                <w:lang w:eastAsia="zh-CN"/>
              </w:rPr>
              <w:t>煤焦</w:t>
            </w:r>
          </w:p>
        </w:tc>
        <w:tc>
          <w:tcPr>
            <w:tcW w:w="6410" w:type="dxa"/>
            <w:tcBorders>
              <w:top w:val="single" w:color="000000" w:sz="4" w:space="0"/>
              <w:left w:val="single" w:color="000000" w:sz="4" w:space="0"/>
              <w:bottom w:val="single" w:color="000000" w:sz="4" w:space="0"/>
              <w:right w:val="nil"/>
            </w:tcBorders>
          </w:tcPr>
          <w:p>
            <w:pPr>
              <w:widowControl/>
              <w:suppressAutoHyphens w:val="0"/>
              <w:ind w:firstLine="630" w:firstLineChars="300"/>
              <w:jc w:val="left"/>
              <w:rPr>
                <w:rFonts w:hint="eastAsia"/>
                <w:color w:val="auto"/>
              </w:rPr>
            </w:pPr>
            <w:r>
              <w:rPr>
                <w:rFonts w:hint="eastAsia"/>
                <w:color w:val="auto"/>
              </w:rPr>
              <w:t>现货市场，双焦持弱运行。山西介休1.3硫主焦2600元/吨，蒙5金泉提货价2550元/吨，加拿大主焦到港价430美元/吨；吕梁准一出厂价2950元/吨，唐山二级焦到厂价3050元/吨，青岛港准一焦平仓价3200元/吨。</w:t>
            </w:r>
          </w:p>
          <w:p>
            <w:pPr>
              <w:widowControl/>
              <w:suppressAutoHyphens w:val="0"/>
              <w:ind w:firstLine="630" w:firstLineChars="300"/>
              <w:jc w:val="left"/>
              <w:rPr>
                <w:rFonts w:hint="eastAsia"/>
                <w:color w:val="auto"/>
              </w:rPr>
            </w:pPr>
            <w:r>
              <w:rPr>
                <w:rFonts w:hint="eastAsia"/>
                <w:color w:val="auto"/>
              </w:rPr>
              <w:t>焦炭第二轮降价情绪削弱，市场出现博弈空间。6月20日焦炭300元/吨降价落地后，市场继续看跌的想法随着时间的推移不断削弱。6月27日市场仅有一家钢厂明确提出焦炭再降200元/吨的要求，其余钢厂以观望为主。</w:t>
            </w:r>
          </w:p>
          <w:p>
            <w:pPr>
              <w:widowControl/>
              <w:suppressAutoHyphens w:val="0"/>
              <w:ind w:firstLine="630" w:firstLineChars="300"/>
              <w:jc w:val="left"/>
              <w:rPr>
                <w:rFonts w:hint="eastAsia" w:eastAsia="宋体"/>
                <w:color w:val="auto"/>
                <w:lang w:val="en-US" w:eastAsia="zh-CN"/>
              </w:rPr>
            </w:pPr>
            <w:r>
              <w:rPr>
                <w:rFonts w:hint="eastAsia"/>
                <w:color w:val="auto"/>
              </w:rPr>
              <w:t>现货端，上周钢厂、焦企、煤矿均有减产，边际供求改善、短期盘面下挫空间受限，同时现货抗跌也增强盘面低位修复贴水的力度。不过成材库存持平略涨，减产力度仍显不足，价格承压抑制供应的状态尚难打破，价格难有持续的反弹驱动。未来关注终端需求强弱，如能带动产量整体向上走，则双焦有继续反弹修复动能；而如终端需求持续偏弱，双焦修复贴水后仍将承压。</w:t>
            </w:r>
          </w:p>
        </w:tc>
        <w:tc>
          <w:tcPr>
            <w:tcW w:w="2050" w:type="dxa"/>
            <w:tcBorders>
              <w:top w:val="single" w:color="000000" w:sz="4" w:space="0"/>
              <w:left w:val="single" w:color="000000" w:sz="4" w:space="0"/>
              <w:bottom w:val="single" w:color="000000" w:sz="4" w:space="0"/>
              <w:right w:val="single" w:color="000000" w:sz="4" w:space="0"/>
            </w:tcBorders>
          </w:tcPr>
          <w:p>
            <w:pPr>
              <w:rPr>
                <w:rFonts w:hint="eastAsia"/>
                <w:b/>
                <w:color w:val="auto"/>
                <w:lang w:eastAsia="zh-CN"/>
              </w:rPr>
            </w:pPr>
            <w:r>
              <w:rPr>
                <w:rFonts w:hint="eastAsia"/>
                <w:b/>
                <w:color w:val="auto"/>
                <w:lang w:eastAsia="zh-CN"/>
              </w:rPr>
              <w:t>操作上，暂时观望。</w:t>
            </w:r>
          </w:p>
          <w:p>
            <w:pPr>
              <w:rPr>
                <w:rFonts w:hint="eastAsia"/>
                <w:b/>
                <w:color w:val="auto"/>
                <w:lang w:eastAsia="zh-CN"/>
              </w:rPr>
            </w:pPr>
          </w:p>
          <w:p>
            <w:pPr>
              <w:rPr>
                <w:b/>
                <w:color w:val="auto"/>
                <w:lang w:eastAsia="zh-CN"/>
              </w:rPr>
            </w:pPr>
            <w:r>
              <w:rPr>
                <w:rFonts w:hint="eastAsia"/>
                <w:b/>
                <w:color w:val="auto"/>
                <w:lang w:eastAsia="zh-CN"/>
              </w:rPr>
              <w:t>（</w:t>
            </w:r>
            <w:r>
              <w:rPr>
                <w:rFonts w:hint="eastAsia"/>
                <w:b/>
                <w:color w:val="auto"/>
                <w:lang w:eastAsia="zh-CN"/>
              </w:rPr>
              <w:t>李岩</w:t>
            </w:r>
            <w:r>
              <w:rPr>
                <w:rFonts w:hint="eastAsia"/>
                <w:b/>
                <w:color w:val="auto"/>
                <w:lang w:eastAsia="zh-CN"/>
              </w:rPr>
              <w:t>）</w:t>
            </w:r>
          </w:p>
        </w:tc>
      </w:tr>
      <w:tr>
        <w:tblPrEx>
          <w:tblCellMar>
            <w:top w:w="0" w:type="dxa"/>
            <w:left w:w="108" w:type="dxa"/>
            <w:bottom w:w="0" w:type="dxa"/>
            <w:right w:w="108" w:type="dxa"/>
          </w:tblCellMar>
        </w:tblPrEx>
        <w:trPr>
          <w:cantSplit/>
          <w:trHeight w:val="934" w:hRule="atLeast"/>
        </w:trPr>
        <w:tc>
          <w:tcPr>
            <w:tcW w:w="534" w:type="dxa"/>
            <w:tcBorders>
              <w:top w:val="single" w:color="000000" w:sz="4" w:space="0"/>
              <w:left w:val="single" w:color="000000" w:sz="4" w:space="0"/>
              <w:bottom w:val="single" w:color="000000" w:sz="4" w:space="0"/>
              <w:right w:val="nil"/>
            </w:tcBorders>
          </w:tcPr>
          <w:p>
            <w:pPr>
              <w:widowControl/>
              <w:jc w:val="left"/>
              <w:rPr>
                <w:rFonts w:ascii="宋体" w:hAnsi="宋体" w:cs="宋体"/>
                <w:b/>
                <w:color w:val="auto"/>
                <w:kern w:val="0"/>
                <w:szCs w:val="21"/>
                <w:lang w:eastAsia="zh-CN"/>
              </w:rPr>
            </w:pPr>
            <w:r>
              <w:rPr>
                <w:rFonts w:hint="eastAsia" w:ascii="宋体" w:hAnsi="宋体" w:cs="宋体"/>
                <w:b/>
                <w:color w:val="auto"/>
                <w:kern w:val="0"/>
                <w:szCs w:val="21"/>
                <w:lang w:eastAsia="zh-CN"/>
              </w:rPr>
              <w:t>铝</w:t>
            </w:r>
          </w:p>
        </w:tc>
        <w:tc>
          <w:tcPr>
            <w:tcW w:w="6410" w:type="dxa"/>
            <w:tcBorders>
              <w:top w:val="single" w:color="000000" w:sz="4" w:space="0"/>
              <w:left w:val="single" w:color="000000" w:sz="4" w:space="0"/>
              <w:bottom w:val="single" w:color="000000" w:sz="4" w:space="0"/>
              <w:right w:val="nil"/>
            </w:tcBorders>
          </w:tcPr>
          <w:p>
            <w:pPr>
              <w:widowControl/>
              <w:suppressAutoHyphens w:val="0"/>
              <w:ind w:firstLine="630" w:firstLineChars="300"/>
              <w:jc w:val="left"/>
              <w:rPr>
                <w:rFonts w:hint="eastAsia"/>
                <w:color w:val="auto"/>
                <w:lang w:val="en-US" w:eastAsia="zh-CN"/>
              </w:rPr>
            </w:pPr>
            <w:r>
              <w:rPr>
                <w:rFonts w:hint="eastAsia"/>
                <w:color w:val="auto"/>
                <w:lang w:val="en-US" w:eastAsia="zh-CN"/>
              </w:rPr>
              <w:t>昨日沪铝偏弱运行，沪铝主力月2208合约收至19135元/吨，跌45元，跌幅0.23%。现货方面，27日长江现货成交价格19160-19200元/吨，涨30元，升水0-升水40；广东现货19120-19180元/吨，涨10元，贴水40-升水20；华通报19220-19260元/吨，涨30元。持货商跟随盘面上下调价出货，接货商接货情绪有所回暖，交投氛围表现一般，总体成交量提升。</w:t>
            </w:r>
          </w:p>
          <w:p>
            <w:pPr>
              <w:widowControl/>
              <w:suppressAutoHyphens w:val="0"/>
              <w:ind w:firstLine="630" w:firstLineChars="300"/>
              <w:jc w:val="left"/>
              <w:rPr>
                <w:rFonts w:hint="eastAsia"/>
                <w:color w:val="auto"/>
                <w:lang w:val="en-US" w:eastAsia="zh-CN"/>
              </w:rPr>
            </w:pPr>
            <w:r>
              <w:rPr>
                <w:rFonts w:hint="eastAsia"/>
                <w:color w:val="auto"/>
                <w:lang w:val="en-US" w:eastAsia="zh-CN"/>
              </w:rPr>
              <w:t>27日，SMM统计国内电解铝社会库存74.6万吨，较上周四库存下降0.5万吨，较5月末库存下降17.6万吨。电解铝库存本周仍维持去库，但降幅明显放缓。一方面前期的仓库影响移库情绪逐渐平缓，另一方面，近期现货成交偏弱，出库量也大幅下降，无锡地区出库量较上周下降2万吨。</w:t>
            </w:r>
          </w:p>
          <w:p>
            <w:pPr>
              <w:widowControl/>
              <w:suppressAutoHyphens w:val="0"/>
              <w:ind w:firstLine="630" w:firstLineChars="300"/>
              <w:jc w:val="left"/>
              <w:rPr>
                <w:color w:val="auto"/>
              </w:rPr>
            </w:pPr>
            <w:r>
              <w:rPr>
                <w:rFonts w:hint="eastAsia"/>
                <w:color w:val="auto"/>
                <w:lang w:val="en-US" w:eastAsia="zh-CN"/>
              </w:rPr>
              <w:t>宏观偏空氛围主导，全球经济衰退与恐慌加剧，有色承压走弱。俄欧关系持续恶化，欧洲天然气价格飙升，欧洲铝企减产忧虑升温。国内运行产能稳步抬升，部分产能出现亏损，产量继续释放。下游需求暂无明显好转，部分地区出现高温天气，开工略受影响。市场悲观氛围发酵，铝基本面持续走弱，短期震荡探底行情为主。</w:t>
            </w:r>
          </w:p>
        </w:tc>
        <w:tc>
          <w:tcPr>
            <w:tcW w:w="2050" w:type="dxa"/>
            <w:tcBorders>
              <w:top w:val="single" w:color="000000" w:sz="4" w:space="0"/>
              <w:left w:val="single" w:color="000000" w:sz="4" w:space="0"/>
              <w:bottom w:val="single" w:color="000000" w:sz="4" w:space="0"/>
              <w:right w:val="single" w:color="000000" w:sz="4" w:space="0"/>
            </w:tcBorders>
          </w:tcPr>
          <w:p>
            <w:pPr>
              <w:rPr>
                <w:rFonts w:hint="eastAsia"/>
                <w:b/>
                <w:color w:val="auto"/>
                <w:lang w:eastAsia="zh-CN"/>
              </w:rPr>
            </w:pPr>
            <w:r>
              <w:rPr>
                <w:rFonts w:hint="eastAsia"/>
                <w:b/>
                <w:color w:val="auto"/>
                <w:lang w:eastAsia="zh-CN"/>
              </w:rPr>
              <w:t>操作上观望或震荡思路对待，关注下游消费兑现情况。</w:t>
            </w:r>
          </w:p>
          <w:p>
            <w:pPr>
              <w:rPr>
                <w:rFonts w:hint="eastAsia"/>
                <w:b/>
                <w:color w:val="auto"/>
                <w:lang w:eastAsia="zh-CN"/>
              </w:rPr>
            </w:pPr>
          </w:p>
          <w:p>
            <w:pPr>
              <w:rPr>
                <w:b/>
                <w:color w:val="auto"/>
                <w:lang w:eastAsia="zh-CN"/>
              </w:rPr>
            </w:pPr>
            <w:r>
              <w:rPr>
                <w:rFonts w:hint="eastAsia"/>
                <w:b/>
                <w:color w:val="auto"/>
                <w:lang w:eastAsia="zh-CN"/>
              </w:rPr>
              <w:t>（有</w:t>
            </w:r>
            <w:r>
              <w:rPr>
                <w:rFonts w:hint="eastAsia"/>
                <w:b/>
                <w:color w:val="auto"/>
                <w:lang w:eastAsia="zh-CN"/>
              </w:rPr>
              <w:t>色</w:t>
            </w:r>
            <w:r>
              <w:rPr>
                <w:rFonts w:hint="eastAsia"/>
                <w:b/>
                <w:color w:val="auto"/>
                <w:lang w:eastAsia="zh-CN"/>
              </w:rPr>
              <w:t>组）</w:t>
            </w:r>
          </w:p>
        </w:tc>
      </w:tr>
      <w:tr>
        <w:tblPrEx>
          <w:tblCellMar>
            <w:top w:w="0" w:type="dxa"/>
            <w:left w:w="108" w:type="dxa"/>
            <w:bottom w:w="0" w:type="dxa"/>
            <w:right w:w="108" w:type="dxa"/>
          </w:tblCellMar>
        </w:tblPrEx>
        <w:trPr>
          <w:cantSplit/>
          <w:trHeight w:val="1287" w:hRule="atLeast"/>
        </w:trPr>
        <w:tc>
          <w:tcPr>
            <w:tcW w:w="534" w:type="dxa"/>
            <w:tcBorders>
              <w:top w:val="single" w:color="000000" w:sz="4" w:space="0"/>
              <w:left w:val="single" w:color="000000" w:sz="4" w:space="0"/>
              <w:bottom w:val="single" w:color="000000" w:sz="4" w:space="0"/>
              <w:right w:val="nil"/>
            </w:tcBorders>
            <w:vAlign w:val="top"/>
          </w:tcPr>
          <w:p>
            <w:pPr>
              <w:widowControl/>
              <w:jc w:val="left"/>
              <w:rPr>
                <w:rFonts w:ascii="宋体" w:hAnsi="宋体" w:cs="宋体"/>
                <w:b/>
                <w:color w:val="auto"/>
                <w:kern w:val="0"/>
                <w:szCs w:val="21"/>
                <w:lang w:eastAsia="zh-CN"/>
              </w:rPr>
            </w:pPr>
            <w:r>
              <w:rPr>
                <w:rFonts w:hint="eastAsia" w:ascii="宋体" w:hAnsi="宋体" w:cs="宋体"/>
                <w:b/>
                <w:color w:val="auto"/>
                <w:kern w:val="0"/>
                <w:szCs w:val="21"/>
                <w:lang w:eastAsia="zh-CN"/>
              </w:rPr>
              <w:t>天胶</w:t>
            </w:r>
          </w:p>
        </w:tc>
        <w:tc>
          <w:tcPr>
            <w:tcW w:w="6410" w:type="dxa"/>
            <w:tcBorders>
              <w:top w:val="single" w:color="000000" w:sz="4" w:space="0"/>
              <w:left w:val="single" w:color="000000" w:sz="4" w:space="0"/>
              <w:bottom w:val="single" w:color="000000" w:sz="4" w:space="0"/>
              <w:right w:val="nil"/>
            </w:tcBorders>
            <w:vAlign w:val="top"/>
          </w:tcPr>
          <w:p>
            <w:pPr>
              <w:widowControl/>
              <w:suppressAutoHyphens w:val="0"/>
              <w:ind w:firstLine="630" w:firstLineChars="300"/>
              <w:jc w:val="left"/>
              <w:rPr>
                <w:rFonts w:hint="eastAsia"/>
                <w:color w:val="auto"/>
              </w:rPr>
            </w:pPr>
            <w:r>
              <w:rPr>
                <w:rFonts w:hint="eastAsia"/>
                <w:color w:val="auto"/>
              </w:rPr>
              <w:t>昨日欧美股市小幅涨跌，市场情绪较为稳定，不过整体依旧承压。国内政策面继续引导宽松的货币环境，利率依旧有下降的空间，政府专项债继续大规模发行，力保国内经济的回稳。昨日国内工业品期货指数小幅反弹，不过整体偏空的局面仍难改变，短期对胶价的影响以压力和波动为主。行业方面，昨日泰国原料价格基本保持稳定，国内云南地区降雨减少，原料产出增加，进干胶厂的胶水价格小幅下跌，海南产区大部分区域已进入开割，全岛加工厂基本上也正常开工，目前原料胶水产量较前期出现明显好转。昨日国内天然橡胶现货价格微幅上涨（全乳胶12750元/吨，+50/+0.39%；20号泰标1685美元/吨，+5/+0.3%，折合人民币11264元/吨；20号泰混12600元/吨，+50/+0.4%）。贸易商报盘积极性一般，商家存观望情绪，场内询盘采购活跃度平平，整体交投弱势。</w:t>
            </w:r>
          </w:p>
          <w:p>
            <w:pPr>
              <w:widowControl/>
              <w:suppressAutoHyphens w:val="0"/>
              <w:ind w:firstLine="630" w:firstLineChars="300"/>
              <w:jc w:val="left"/>
              <w:rPr>
                <w:rFonts w:hint="eastAsia" w:eastAsia="宋体"/>
                <w:color w:val="auto"/>
                <w:lang w:eastAsia="zh-CN"/>
              </w:rPr>
            </w:pPr>
            <w:r>
              <w:rPr>
                <w:rFonts w:hint="eastAsia"/>
                <w:color w:val="auto"/>
              </w:rPr>
              <w:t>技术面：RU2209昨日上冲12900上方的压力不济后展开回落，短期的反弹遭遇较大困难，短线存在再度回落下探的可能，不过近半个月来，RU2209整体处于低位震荡局面，市场缺乏明确方向，下方支撑保持在12500-12600。</w:t>
            </w:r>
          </w:p>
        </w:tc>
        <w:tc>
          <w:tcPr>
            <w:tcW w:w="2050" w:type="dxa"/>
            <w:tcBorders>
              <w:top w:val="single" w:color="000000" w:sz="4" w:space="0"/>
              <w:left w:val="single" w:color="000000" w:sz="4" w:space="0"/>
              <w:bottom w:val="single" w:color="000000" w:sz="4" w:space="0"/>
              <w:right w:val="single" w:color="000000" w:sz="4" w:space="0"/>
            </w:tcBorders>
            <w:vAlign w:val="top"/>
          </w:tcPr>
          <w:p>
            <w:pPr>
              <w:rPr>
                <w:rFonts w:hint="eastAsia"/>
                <w:b/>
                <w:color w:val="auto"/>
                <w:lang w:eastAsia="zh-CN"/>
              </w:rPr>
            </w:pPr>
            <w:r>
              <w:rPr>
                <w:rFonts w:hint="eastAsia"/>
                <w:b/>
                <w:color w:val="auto"/>
                <w:lang w:eastAsia="zh-CN"/>
              </w:rPr>
              <w:t>操作建议：轻仓波段交易，区间思路。</w:t>
            </w:r>
          </w:p>
          <w:p>
            <w:pPr>
              <w:rPr>
                <w:rFonts w:hint="eastAsia"/>
                <w:b/>
                <w:color w:val="auto"/>
                <w:lang w:eastAsia="zh-CN"/>
              </w:rPr>
            </w:pPr>
          </w:p>
          <w:p>
            <w:pPr>
              <w:rPr>
                <w:b/>
                <w:color w:val="auto"/>
                <w:lang w:eastAsia="zh-CN"/>
              </w:rPr>
            </w:pPr>
            <w:r>
              <w:rPr>
                <w:rFonts w:hint="eastAsia"/>
                <w:b/>
                <w:color w:val="auto"/>
                <w:lang w:eastAsia="zh-CN"/>
              </w:rPr>
              <w:t>（</w:t>
            </w:r>
            <w:r>
              <w:rPr>
                <w:rFonts w:hint="eastAsia"/>
                <w:b/>
                <w:color w:val="auto"/>
                <w:lang w:eastAsia="zh-CN"/>
              </w:rPr>
              <w:t>王海峰</w:t>
            </w:r>
            <w:r>
              <w:rPr>
                <w:rFonts w:hint="eastAsia"/>
                <w:b/>
                <w:color w:val="auto"/>
                <w:lang w:eastAsia="zh-CN"/>
              </w:rPr>
              <w:t>）</w:t>
            </w:r>
          </w:p>
        </w:tc>
      </w:tr>
      <w:tr>
        <w:tblPrEx>
          <w:tblCellMar>
            <w:top w:w="0" w:type="dxa"/>
            <w:left w:w="108" w:type="dxa"/>
            <w:bottom w:w="0" w:type="dxa"/>
            <w:right w:w="108" w:type="dxa"/>
          </w:tblCellMar>
        </w:tblPrEx>
        <w:trPr>
          <w:cantSplit/>
          <w:trHeight w:val="1287" w:hRule="atLeast"/>
        </w:trPr>
        <w:tc>
          <w:tcPr>
            <w:tcW w:w="534" w:type="dxa"/>
            <w:tcBorders>
              <w:top w:val="single" w:color="000000" w:sz="4" w:space="0"/>
              <w:left w:val="single" w:color="000000" w:sz="4" w:space="0"/>
              <w:bottom w:val="single" w:color="000000" w:sz="4" w:space="0"/>
              <w:right w:val="nil"/>
            </w:tcBorders>
            <w:vAlign w:val="top"/>
          </w:tcPr>
          <w:p>
            <w:pPr>
              <w:widowControl/>
              <w:jc w:val="left"/>
              <w:rPr>
                <w:rFonts w:hint="default" w:ascii="宋体" w:hAnsi="宋体" w:eastAsia="宋体" w:cs="宋体"/>
                <w:b/>
                <w:color w:val="auto"/>
                <w:kern w:val="0"/>
                <w:sz w:val="21"/>
                <w:szCs w:val="21"/>
                <w:lang w:val="en-US" w:eastAsia="zh-CN" w:bidi="ar-SA"/>
              </w:rPr>
            </w:pPr>
            <w:r>
              <w:rPr>
                <w:rFonts w:hint="eastAsia" w:ascii="宋体" w:hAnsi="宋体" w:cs="宋体"/>
                <w:b/>
                <w:color w:val="auto"/>
                <w:kern w:val="0"/>
                <w:sz w:val="21"/>
                <w:szCs w:val="21"/>
                <w:lang w:val="en-US" w:eastAsia="zh-CN" w:bidi="ar-SA"/>
              </w:rPr>
              <w:t>原油</w:t>
            </w:r>
          </w:p>
        </w:tc>
        <w:tc>
          <w:tcPr>
            <w:tcW w:w="6410" w:type="dxa"/>
            <w:tcBorders>
              <w:top w:val="single" w:color="000000" w:sz="4" w:space="0"/>
              <w:left w:val="single" w:color="000000" w:sz="4" w:space="0"/>
              <w:bottom w:val="single" w:color="000000" w:sz="4" w:space="0"/>
              <w:right w:val="nil"/>
            </w:tcBorders>
            <w:vAlign w:val="top"/>
          </w:tcPr>
          <w:p>
            <w:pPr>
              <w:widowControl/>
              <w:suppressAutoHyphens w:val="0"/>
              <w:ind w:firstLine="630" w:firstLineChars="300"/>
              <w:jc w:val="left"/>
              <w:rPr>
                <w:rFonts w:hint="eastAsia"/>
                <w:color w:val="auto"/>
              </w:rPr>
            </w:pPr>
            <w:r>
              <w:rPr>
                <w:rFonts w:hint="eastAsia"/>
                <w:color w:val="auto"/>
              </w:rPr>
              <w:t>【原油】伊朗表示“本周”将重启核谈判，会谈将在卡塔尔多哈举行。 自最近上线新管道产能以来，加拿大重质原油越来越多地流向美国墨西哥湾沿岸，这些原油再出口，WCS和Mars基准面临巨大差异。利比亚国家石油公司即将宣布东部主要石油码头的石油出口不可抗力。ARC的数据，厄瓜多尔原油产量从6月12日的49.9万桶/天下降了45%，至南美国家开始全国罢工的前一天，6月22日的27.59万桶/天。PlattsFOBSingapore92RON汽油裂与ICE布伦特原油裂解价差，上涨7.56美元/桶，或24.89%，至6月22日收盘时37.93美元/桶的历史高点。伊拉克北部半自治库尔德地区当局在6月22日受一枚火箭弹击中苏莱曼尼亚省的KhorMor气田后，加强了安全措施。Euroilstock周三公布的数据显示，欧洲炼厂5月原油加工量为937万桶/日，较前一个月下滑约5%，但较上年同期增加逾6%。炼厂总产出环比下滑逾4%。中质馏分油产出较4月减少约4.5%，汽油产出亦下降4.5%。PlattsFOBSingapore92RON汽油裂与ICE布伦特原油裂解价差，上涨7.56美元/桶，或24.89%，至6月22日收盘时37.93美元/桶的历史高点。美国至6月17日当周API原油库存增加560.7万桶，为2022年4月8日当周以来最大增幅，预期减少143.3万桶，前值增加73.6万桶。分析师指出，对于经济衰退与需求疲软的担忧、以及美国汽油免税期的前景均导致油价承压。今年5月，中国进口的原油总量约为4582万吨，其中从俄罗斯进口原油842万吨，与上月的655万吨相比增长了29%，与去年同期的544万吨相比增长了55%。6月20日消息称，2022年5月，印度原油产量增至260万吨，同比增长4.6%，比当月目标高出2.4%。</w:t>
            </w:r>
          </w:p>
          <w:p>
            <w:pPr>
              <w:widowControl/>
              <w:suppressAutoHyphens w:val="0"/>
              <w:ind w:firstLine="630" w:firstLineChars="300"/>
              <w:jc w:val="left"/>
              <w:rPr>
                <w:rFonts w:hint="eastAsia" w:ascii="Times New Roman" w:hAnsi="Times New Roman" w:eastAsia="宋体" w:cs="Times New Roman"/>
                <w:color w:val="auto"/>
                <w:kern w:val="2"/>
                <w:sz w:val="21"/>
                <w:lang w:val="en-US" w:eastAsia="zh-CN" w:bidi="ar-SA"/>
              </w:rPr>
            </w:pPr>
            <w:r>
              <w:rPr>
                <w:rFonts w:hint="eastAsia"/>
                <w:color w:val="auto"/>
              </w:rPr>
              <w:t>操作建议:美国经济数据好于预期，缓解了对需求可能收缩的担忧；投资者等待七国集团领导人会议可能出台针对俄石油天然气出口措施，国际油价继续上涨。8月WTI涨1.95报109.57美元/桶，涨幅1.8%；8月布伦特涨1.97报115.09美元/桶，涨幅1.7%。</w:t>
            </w:r>
          </w:p>
        </w:tc>
        <w:tc>
          <w:tcPr>
            <w:tcW w:w="2050" w:type="dxa"/>
            <w:tcBorders>
              <w:top w:val="single" w:color="000000" w:sz="4" w:space="0"/>
              <w:left w:val="single" w:color="000000" w:sz="4" w:space="0"/>
              <w:bottom w:val="single" w:color="000000" w:sz="4" w:space="0"/>
              <w:right w:val="single" w:color="000000" w:sz="4" w:space="0"/>
            </w:tcBorders>
            <w:vAlign w:val="top"/>
          </w:tcPr>
          <w:p>
            <w:pPr>
              <w:rPr>
                <w:rFonts w:hint="eastAsia"/>
                <w:b/>
                <w:color w:val="auto"/>
                <w:lang w:eastAsia="zh-CN"/>
              </w:rPr>
            </w:pPr>
            <w:r>
              <w:rPr>
                <w:rFonts w:hint="eastAsia"/>
                <w:b/>
                <w:color w:val="auto"/>
                <w:lang w:eastAsia="zh-CN"/>
              </w:rPr>
              <w:t>操作思路以短期震荡偏强为主，关注布伦特原油震荡区间110-120美元/桶，注意止盈止损。</w:t>
            </w:r>
          </w:p>
          <w:p>
            <w:pPr>
              <w:rPr>
                <w:rFonts w:hint="eastAsia"/>
                <w:b/>
                <w:color w:val="auto"/>
                <w:lang w:eastAsia="zh-CN"/>
              </w:rPr>
            </w:pPr>
          </w:p>
          <w:p>
            <w:pPr>
              <w:rPr>
                <w:rFonts w:hint="eastAsia" w:ascii="Times New Roman" w:hAnsi="Times New Roman" w:eastAsia="宋体" w:cs="Times New Roman"/>
                <w:b/>
                <w:color w:val="auto"/>
                <w:kern w:val="2"/>
                <w:sz w:val="21"/>
                <w:lang w:val="en-US" w:eastAsia="zh-CN" w:bidi="ar-SA"/>
              </w:rPr>
            </w:pPr>
            <w:r>
              <w:rPr>
                <w:rFonts w:hint="eastAsia"/>
                <w:b/>
                <w:color w:val="auto"/>
                <w:lang w:eastAsia="zh-CN"/>
              </w:rPr>
              <w:t>（</w:t>
            </w:r>
            <w:r>
              <w:rPr>
                <w:rFonts w:hint="eastAsia"/>
                <w:b/>
                <w:color w:val="auto"/>
                <w:lang w:val="en-US" w:eastAsia="zh-CN"/>
              </w:rPr>
              <w:t>黄</w:t>
            </w:r>
            <w:r>
              <w:rPr>
                <w:rFonts w:hint="eastAsia"/>
                <w:b/>
                <w:color w:val="auto"/>
                <w:lang w:val="en-US" w:eastAsia="zh-CN"/>
              </w:rPr>
              <w:t>世俊</w:t>
            </w:r>
            <w:r>
              <w:rPr>
                <w:rFonts w:hint="eastAsia"/>
                <w:b/>
                <w:color w:val="auto"/>
                <w:lang w:eastAsia="zh-CN"/>
              </w:rPr>
              <w:t>）</w:t>
            </w:r>
          </w:p>
        </w:tc>
      </w:tr>
    </w:tbl>
    <w:p>
      <w:pPr>
        <w:widowControl/>
        <w:jc w:val="left"/>
        <w:rPr>
          <w:rFonts w:ascii="黑体" w:eastAsia="黑体" w:cs="宋体"/>
          <w:color w:val="auto"/>
          <w:szCs w:val="21"/>
        </w:rPr>
      </w:pPr>
      <w:r>
        <w:rPr>
          <w:rFonts w:hint="eastAsia" w:ascii="黑体" w:eastAsia="黑体" w:cs="宋体"/>
          <w:color w:val="auto"/>
          <w:szCs w:val="21"/>
        </w:rPr>
        <w:t>本报告中的信息均来源于公开资料，我公司对这些信息的准确性和完整性不作任何保证，报告中的内容和意见仅供参考。我公司及员工对使用本报刊及其内容所引发的任何直接或间接损失概不负责。本报刊版权归道通期货所有。</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lang w:eastAsia="zh-CN"/>
      </w:rPr>
      <mc:AlternateContent>
        <mc:Choice Requires="wps">
          <w:drawing>
            <wp:anchor distT="0" distB="0" distL="0" distR="0" simplePos="0" relativeHeight="251659264" behindDoc="0" locked="0" layoutInCell="1" allowOverlap="1">
              <wp:simplePos x="0" y="0"/>
              <wp:positionH relativeFrom="page">
                <wp:posOffset>6361430</wp:posOffset>
              </wp:positionH>
              <wp:positionV relativeFrom="paragraph">
                <wp:posOffset>635</wp:posOffset>
              </wp:positionV>
              <wp:extent cx="246380" cy="124460"/>
              <wp:effectExtent l="8255" t="635" r="2540" b="8255"/>
              <wp:wrapSquare wrapText="largest"/>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6380" cy="124460"/>
                      </a:xfrm>
                      <a:prstGeom prst="rect">
                        <a:avLst/>
                      </a:prstGeom>
                      <a:solidFill>
                        <a:srgbClr val="FFFFFF">
                          <a:alpha val="0"/>
                        </a:srgbClr>
                      </a:solidFill>
                      <a:ln>
                        <a:noFill/>
                      </a:ln>
                      <a:effectLst/>
                    </wps:spPr>
                    <wps:txbx>
                      <w:txbxContent>
                        <w:p>
                          <w:pPr>
                            <w:pStyle w:val="2"/>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00.9pt;margin-top:0.05pt;height:9.8pt;width:19.4pt;mso-position-horizontal-relative:page;mso-wrap-distance-bottom:0pt;mso-wrap-distance-left:0pt;mso-wrap-distance-right:0pt;mso-wrap-distance-top:0pt;z-index:251659264;mso-width-relative:page;mso-height-relative:page;" fillcolor="#FFFFFF" filled="t" stroked="f" coordsize="21600,21600" o:gfxdata="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LcXJT1AAAAAkBAAAPAAAAAAAAAAEAIAAAACIAAABkcnMvZG93bnJldi54bWxQSwEC&#10;FAAUAAAACACHTuJAExrNKjECAABYBAAADgAAAAAAAAABACAAAAAjAQAAZHJzL2Uyb0RvYy54bWxQ&#10;SwUGAAAAAAYABgBZAQAAxgUAAAAA&#10;">
              <v:fill on="t" opacity="0f" focussize="0,0"/>
              <v:stroke on="f"/>
              <v:imagedata o:title=""/>
              <o:lock v:ext="edit" aspectratio="f"/>
              <v:textbox inset="0mm,0mm,0mm,0mm">
                <w:txbxContent>
                  <w:p>
                    <w:pPr>
                      <w:pStyle w:val="2"/>
                    </w:pPr>
                    <w:r>
                      <w:fldChar w:fldCharType="begin"/>
                    </w:r>
                    <w:r>
                      <w:instrText xml:space="preserve"> PAGE </w:instrText>
                    </w:r>
                    <w:r>
                      <w:fldChar w:fldCharType="separate"/>
                    </w:r>
                    <w:r>
                      <w:t>6</w:t>
                    </w:r>
                    <w:r>
                      <w:fldChar w:fldCharType="end"/>
                    </w:r>
                  </w:p>
                </w:txbxContent>
              </v:textbox>
              <w10:wrap type="square" side="largest"/>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w:drawing>
        <wp:inline distT="0" distB="0" distL="0" distR="0">
          <wp:extent cx="4343400" cy="647700"/>
          <wp:effectExtent l="0" t="0" r="0" b="0"/>
          <wp:docPr id="3" name="图片 3" descr="0141341712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4134171215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43400" cy="647700"/>
                  </a:xfrm>
                  <a:prstGeom prst="rect">
                    <a:avLst/>
                  </a:prstGeom>
                  <a:solidFill>
                    <a:srgbClr val="FFFFFF"/>
                  </a:solidFill>
                  <a:ln>
                    <a:noFill/>
                  </a:ln>
                  <a:effectLst/>
                </pic:spPr>
              </pic:pic>
            </a:graphicData>
          </a:graphic>
        </wp:inline>
      </w:drawing>
    </w:r>
    <w:r>
      <w:rPr>
        <w:rFonts w:hint="eastAsia"/>
        <w:b/>
        <w:sz w:val="24"/>
      </w:rPr>
      <w:t>研究所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3E2C"/>
    <w:rsid w:val="000E5154"/>
    <w:rsid w:val="000F371A"/>
    <w:rsid w:val="0012356C"/>
    <w:rsid w:val="001C1FC2"/>
    <w:rsid w:val="001D4A9A"/>
    <w:rsid w:val="00212FE7"/>
    <w:rsid w:val="00293230"/>
    <w:rsid w:val="002C2C71"/>
    <w:rsid w:val="003B7B20"/>
    <w:rsid w:val="00423CD1"/>
    <w:rsid w:val="004C6700"/>
    <w:rsid w:val="004D5BD2"/>
    <w:rsid w:val="004D5EAC"/>
    <w:rsid w:val="004E76CE"/>
    <w:rsid w:val="004F7FFA"/>
    <w:rsid w:val="00525381"/>
    <w:rsid w:val="00533C3E"/>
    <w:rsid w:val="005579C3"/>
    <w:rsid w:val="00577396"/>
    <w:rsid w:val="00592B06"/>
    <w:rsid w:val="00635AE0"/>
    <w:rsid w:val="00642BBB"/>
    <w:rsid w:val="007E13BC"/>
    <w:rsid w:val="00944398"/>
    <w:rsid w:val="00956E05"/>
    <w:rsid w:val="00977AD7"/>
    <w:rsid w:val="009D7439"/>
    <w:rsid w:val="00A2026A"/>
    <w:rsid w:val="00A968EA"/>
    <w:rsid w:val="00AC565B"/>
    <w:rsid w:val="00AF5C20"/>
    <w:rsid w:val="00B5427D"/>
    <w:rsid w:val="00B57BA2"/>
    <w:rsid w:val="00BD402B"/>
    <w:rsid w:val="00C307B2"/>
    <w:rsid w:val="00C37202"/>
    <w:rsid w:val="00C56BD5"/>
    <w:rsid w:val="00CF0B5A"/>
    <w:rsid w:val="00D215DB"/>
    <w:rsid w:val="00D406FC"/>
    <w:rsid w:val="00D711A4"/>
    <w:rsid w:val="00D835F1"/>
    <w:rsid w:val="00DA0DD2"/>
    <w:rsid w:val="00F51399"/>
    <w:rsid w:val="01006B66"/>
    <w:rsid w:val="01A17F68"/>
    <w:rsid w:val="042D0F35"/>
    <w:rsid w:val="08D77793"/>
    <w:rsid w:val="093706B3"/>
    <w:rsid w:val="09656767"/>
    <w:rsid w:val="099174FC"/>
    <w:rsid w:val="09E27D0D"/>
    <w:rsid w:val="0A57325E"/>
    <w:rsid w:val="0A624104"/>
    <w:rsid w:val="0B544A92"/>
    <w:rsid w:val="0C12090D"/>
    <w:rsid w:val="0D7A2D36"/>
    <w:rsid w:val="12294B95"/>
    <w:rsid w:val="124F21B0"/>
    <w:rsid w:val="13B23C90"/>
    <w:rsid w:val="14E22F0B"/>
    <w:rsid w:val="16714D70"/>
    <w:rsid w:val="18890622"/>
    <w:rsid w:val="18B11A3E"/>
    <w:rsid w:val="18B21305"/>
    <w:rsid w:val="195C02AF"/>
    <w:rsid w:val="1A8E2066"/>
    <w:rsid w:val="1C955016"/>
    <w:rsid w:val="1CAE3AF0"/>
    <w:rsid w:val="1E9D2B4C"/>
    <w:rsid w:val="1EC70303"/>
    <w:rsid w:val="1F7E29BD"/>
    <w:rsid w:val="1F8072E8"/>
    <w:rsid w:val="20970D76"/>
    <w:rsid w:val="226C1608"/>
    <w:rsid w:val="227E57F8"/>
    <w:rsid w:val="227F224C"/>
    <w:rsid w:val="23F270CF"/>
    <w:rsid w:val="245A2629"/>
    <w:rsid w:val="2A7A4984"/>
    <w:rsid w:val="2B252FF2"/>
    <w:rsid w:val="2D8D3BC9"/>
    <w:rsid w:val="2FCC19BF"/>
    <w:rsid w:val="31EC1213"/>
    <w:rsid w:val="321D62B5"/>
    <w:rsid w:val="341F7FC4"/>
    <w:rsid w:val="353D5E3C"/>
    <w:rsid w:val="358935BB"/>
    <w:rsid w:val="36AB3BBE"/>
    <w:rsid w:val="384D33C8"/>
    <w:rsid w:val="3CF13880"/>
    <w:rsid w:val="406C6812"/>
    <w:rsid w:val="40A56BD2"/>
    <w:rsid w:val="41A00C7B"/>
    <w:rsid w:val="424E1F35"/>
    <w:rsid w:val="426E1857"/>
    <w:rsid w:val="430419B8"/>
    <w:rsid w:val="43811021"/>
    <w:rsid w:val="442D0F38"/>
    <w:rsid w:val="49131CBA"/>
    <w:rsid w:val="4A29450B"/>
    <w:rsid w:val="4A2A5B0A"/>
    <w:rsid w:val="4B25247A"/>
    <w:rsid w:val="4CDB5F58"/>
    <w:rsid w:val="4D9E7DC0"/>
    <w:rsid w:val="4DA0349C"/>
    <w:rsid w:val="4FCE0CA2"/>
    <w:rsid w:val="4FFF16B7"/>
    <w:rsid w:val="501C1047"/>
    <w:rsid w:val="509328D4"/>
    <w:rsid w:val="5132643B"/>
    <w:rsid w:val="518F71CD"/>
    <w:rsid w:val="526922B9"/>
    <w:rsid w:val="53B809A0"/>
    <w:rsid w:val="5610706B"/>
    <w:rsid w:val="578723B2"/>
    <w:rsid w:val="57D67B07"/>
    <w:rsid w:val="58CF0924"/>
    <w:rsid w:val="5B116A65"/>
    <w:rsid w:val="5B922A05"/>
    <w:rsid w:val="5CDE1F17"/>
    <w:rsid w:val="5FAE7A14"/>
    <w:rsid w:val="60593F12"/>
    <w:rsid w:val="66714647"/>
    <w:rsid w:val="66CC74E1"/>
    <w:rsid w:val="73C8743F"/>
    <w:rsid w:val="7A3D7229"/>
    <w:rsid w:val="7A857A1E"/>
    <w:rsid w:val="7A8C2DBA"/>
    <w:rsid w:val="7B9137A7"/>
    <w:rsid w:val="7C086E1A"/>
    <w:rsid w:val="7DFC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2"/>
      <w:sz w:val="21"/>
      <w:lang w:val="en-US" w:eastAsia="ar-SA"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000000" w:sz="4" w:space="1"/>
      </w:pBdr>
      <w:tabs>
        <w:tab w:val="center" w:pos="4153"/>
        <w:tab w:val="right" w:pos="8306"/>
      </w:tabs>
      <w:snapToGrid w:val="0"/>
      <w:jc w:val="center"/>
    </w:pPr>
    <w:rPr>
      <w:sz w:val="18"/>
    </w:rPr>
  </w:style>
  <w:style w:type="character" w:customStyle="1" w:styleId="6">
    <w:name w:val="页脚 字符"/>
    <w:basedOn w:val="5"/>
    <w:link w:val="2"/>
    <w:qFormat/>
    <w:uiPriority w:val="0"/>
    <w:rPr>
      <w:rFonts w:ascii="Times New Roman" w:hAnsi="Times New Roman" w:eastAsia="宋体" w:cs="Times New Roman"/>
      <w:sz w:val="18"/>
      <w:szCs w:val="20"/>
      <w:lang w:eastAsia="ar-SA"/>
    </w:rPr>
  </w:style>
  <w:style w:type="character" w:customStyle="1" w:styleId="7">
    <w:name w:val="页眉 字符"/>
    <w:basedOn w:val="5"/>
    <w:link w:val="3"/>
    <w:qFormat/>
    <w:uiPriority w:val="0"/>
    <w:rPr>
      <w:rFonts w:ascii="Times New Roman" w:hAnsi="Times New Roman" w:eastAsia="宋体" w:cs="Times New Roman"/>
      <w:sz w:val="18"/>
      <w:szCs w:val="20"/>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845</Words>
  <Characters>4817</Characters>
  <Lines>40</Lines>
  <Paragraphs>11</Paragraphs>
  <TotalTime>58</TotalTime>
  <ScaleCrop>false</ScaleCrop>
  <LinksUpToDate>false</LinksUpToDate>
  <CharactersWithSpaces>5651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2021-04-23T15:55:00Z</dcterms:created>
  <dc:creator>admin</dc:creator>
  <cp:lastModifiedBy>admin</cp:lastModifiedBy>
  <dcterms:modified xsi:type="dcterms:W3CDTF">2022-06-28T00:41:33Z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241ED9DFB688474D48B653619F6A5D07</vt:lpwstr>
  </property>
</Properties>
</file>