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4月26</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bookmarkStart w:id="0" w:name="_GoBack"/>
      <w:bookmarkEnd w:id="0"/>
    </w:p>
    <w:p>
      <w:pPr>
        <w:jc w:val="left"/>
        <w:rPr>
          <w:rFonts w:hint="eastAsia"/>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1  拉加德告诉央行政策制定者，在欧央行周四公布政策决定后不要立即发布与公布内容不同的观点，将“个人”观点保留到下周一。其还指示央行决策者不要向媒体泄露内部讨论的细节。</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国务院发文表示，要推动金融系统通过降低利率、减少收费等多种措施，向实体经济让利。引导金融机构优化信贷管理，对受疫情影响严重的行业企业给予融资支持，避免出现行业性限贷、抽贷、断贷。</w:t>
      </w:r>
    </w:p>
    <w:p>
      <w:pPr>
        <w:jc w:val="left"/>
        <w:rPr>
          <w:rFonts w:hint="eastAsia"/>
          <w:color w:val="auto"/>
        </w:rPr>
      </w:pPr>
      <w:r>
        <w:rPr>
          <w:rFonts w:hint="eastAsia"/>
          <w:color w:val="auto"/>
        </w:rPr>
        <w:t>2  国务院办公厅发布《关于进一步释放消费潜力促进消费持续恢复的意见》：破除限制消费障碍壁垒。健全消费标准体系。增加就业收入提高消费能力。创新消费业态和模式。全面加强消费者权益保护。优化金融服务。深入实施公平竞争政策，强化反垄断和反不正当竞争执法。促进健康养老托育等服务消费。</w:t>
      </w:r>
    </w:p>
    <w:p>
      <w:pPr>
        <w:jc w:val="left"/>
        <w:rPr>
          <w:rFonts w:hint="eastAsia"/>
          <w:color w:val="auto"/>
        </w:rPr>
      </w:pPr>
      <w:r>
        <w:rPr>
          <w:rFonts w:hint="eastAsia"/>
          <w:color w:val="auto"/>
        </w:rPr>
        <w:t>3  国家发改委就《关于进一步释放消费潜力促进消费持续恢复的意见》：疫情对消费的影响是阶段性的。随着疫情得到有效管控、政策效应逐步显现，正常经济秩序将快速恢复，消费也将逐步回升，消费长期向好的基本面没有改变。</w:t>
      </w:r>
    </w:p>
    <w:p>
      <w:pPr>
        <w:jc w:val="left"/>
        <w:rPr>
          <w:rFonts w:hint="eastAsia"/>
          <w:color w:val="auto"/>
        </w:rPr>
      </w:pPr>
      <w:r>
        <w:rPr>
          <w:rFonts w:hint="eastAsia"/>
          <w:color w:val="auto"/>
        </w:rPr>
        <w:t>4   国家发改委：坚持精准有效投资导向，坚决不搞“大水漫灌”，积极扩大有效投资 促进经济平稳健康发展。</w:t>
      </w:r>
    </w:p>
    <w:p>
      <w:pPr>
        <w:jc w:val="left"/>
        <w:rPr>
          <w:rFonts w:hint="eastAsia"/>
          <w:color w:val="auto"/>
        </w:rPr>
      </w:pPr>
      <w:r>
        <w:rPr>
          <w:rFonts w:hint="eastAsia"/>
          <w:color w:val="auto"/>
        </w:rPr>
        <w:t>5  为提升金融机构外汇资金运用能力，中国人民银行决定，自2022年5月15日起，下调金融机构外汇存款准备金率1个百分点，即外汇存款准备金率由现行的9%下调至8%。</w:t>
      </w:r>
    </w:p>
    <w:p>
      <w:pPr>
        <w:jc w:val="left"/>
        <w:rPr>
          <w:rFonts w:hint="eastAsia"/>
          <w:color w:val="auto"/>
        </w:rPr>
      </w:pPr>
      <w:r>
        <w:rPr>
          <w:rFonts w:hint="eastAsia"/>
          <w:color w:val="auto"/>
        </w:rPr>
        <w:t>6  多家大行、股份行3年期、2年期大额存单以及部分“特色存款”产品利率如期下调，普遍在0.1个百分点</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07:30</w:t>
      </w:r>
      <w:r>
        <w:rPr>
          <w:rFonts w:hint="eastAsia"/>
          <w:color w:val="auto"/>
        </w:rPr>
        <w:tab/>
      </w:r>
      <w:r>
        <w:rPr>
          <w:rFonts w:hint="eastAsia"/>
          <w:color w:val="auto"/>
        </w:rPr>
        <w:t>日本3月失业率(%)</w:t>
      </w:r>
      <w:r>
        <w:rPr>
          <w:rFonts w:hint="eastAsia"/>
          <w:color w:val="auto"/>
        </w:rPr>
        <w:tab/>
      </w:r>
      <w:r>
        <w:rPr>
          <w:rFonts w:hint="eastAsia"/>
          <w:color w:val="auto"/>
        </w:rPr>
        <w:t>前值2.7</w:t>
      </w:r>
      <w:r>
        <w:rPr>
          <w:rFonts w:hint="eastAsia"/>
          <w:color w:val="auto"/>
        </w:rPr>
        <w:tab/>
      </w:r>
      <w:r>
        <w:rPr>
          <w:rFonts w:hint="eastAsia"/>
          <w:color w:val="auto"/>
        </w:rPr>
        <w:t>预测值2.7</w:t>
      </w:r>
    </w:p>
    <w:p>
      <w:pPr>
        <w:jc w:val="left"/>
        <w:rPr>
          <w:rFonts w:hint="eastAsia"/>
          <w:color w:val="auto"/>
        </w:rPr>
      </w:pPr>
      <w:r>
        <w:rPr>
          <w:rFonts w:hint="eastAsia"/>
          <w:color w:val="auto"/>
        </w:rPr>
        <w:t>20:30</w:t>
      </w:r>
      <w:r>
        <w:rPr>
          <w:rFonts w:hint="eastAsia"/>
          <w:color w:val="auto"/>
        </w:rPr>
        <w:tab/>
      </w:r>
      <w:r>
        <w:rPr>
          <w:rFonts w:hint="eastAsia"/>
          <w:color w:val="auto"/>
        </w:rPr>
        <w:t>美国3月耐用品订单月率初值(%)</w:t>
      </w:r>
      <w:r>
        <w:rPr>
          <w:rFonts w:hint="eastAsia"/>
          <w:color w:val="auto"/>
        </w:rPr>
        <w:tab/>
      </w:r>
      <w:r>
        <w:rPr>
          <w:rFonts w:hint="eastAsia"/>
          <w:color w:val="auto"/>
        </w:rPr>
        <w:t>-2.1</w:t>
      </w:r>
      <w:r>
        <w:rPr>
          <w:rFonts w:hint="eastAsia"/>
          <w:color w:val="auto"/>
        </w:rPr>
        <w:tab/>
      </w:r>
      <w:r>
        <w:rPr>
          <w:rFonts w:hint="eastAsia"/>
          <w:color w:val="auto"/>
        </w:rPr>
        <w:t>1</w:t>
      </w:r>
    </w:p>
    <w:p>
      <w:pPr>
        <w:jc w:val="left"/>
        <w:rPr>
          <w:rFonts w:hint="eastAsia"/>
          <w:color w:val="auto"/>
        </w:rPr>
      </w:pPr>
      <w:r>
        <w:rPr>
          <w:rFonts w:hint="eastAsia"/>
          <w:color w:val="auto"/>
        </w:rPr>
        <w:t>21:00</w:t>
      </w:r>
      <w:r>
        <w:rPr>
          <w:rFonts w:hint="eastAsia"/>
          <w:color w:val="auto"/>
        </w:rPr>
        <w:tab/>
      </w:r>
      <w:r>
        <w:rPr>
          <w:rFonts w:hint="eastAsia"/>
          <w:color w:val="auto"/>
        </w:rPr>
        <w:t>美国2月FHFA房价指数月率(%)</w:t>
      </w:r>
      <w:r>
        <w:rPr>
          <w:rFonts w:hint="eastAsia"/>
          <w:color w:val="auto"/>
        </w:rPr>
        <w:tab/>
      </w:r>
      <w:r>
        <w:rPr>
          <w:rFonts w:hint="eastAsia"/>
          <w:color w:val="auto"/>
        </w:rPr>
        <w:t>1.6</w:t>
      </w:r>
      <w:r>
        <w:rPr>
          <w:rFonts w:hint="eastAsia"/>
          <w:color w:val="auto"/>
        </w:rPr>
        <w:tab/>
      </w:r>
      <w:r>
        <w:rPr>
          <w:rFonts w:hint="eastAsia"/>
          <w:color w:val="auto"/>
        </w:rPr>
        <w:t>1.5</w:t>
      </w:r>
    </w:p>
    <w:p>
      <w:pPr>
        <w:jc w:val="left"/>
        <w:rPr>
          <w:rFonts w:hint="eastAsia"/>
          <w:color w:val="auto"/>
        </w:rPr>
      </w:pPr>
      <w:r>
        <w:rPr>
          <w:rFonts w:hint="eastAsia"/>
          <w:color w:val="auto"/>
        </w:rPr>
        <w:t>22:00</w:t>
      </w:r>
      <w:r>
        <w:rPr>
          <w:rFonts w:hint="eastAsia"/>
          <w:color w:val="auto"/>
        </w:rPr>
        <w:tab/>
      </w:r>
      <w:r>
        <w:rPr>
          <w:rFonts w:hint="eastAsia"/>
          <w:color w:val="auto"/>
        </w:rPr>
        <w:t>美国4月谘商会消费者信心指数</w:t>
      </w:r>
      <w:r>
        <w:rPr>
          <w:rFonts w:hint="eastAsia"/>
          <w:color w:val="auto"/>
        </w:rPr>
        <w:tab/>
      </w:r>
      <w:r>
        <w:rPr>
          <w:rFonts w:hint="eastAsia"/>
          <w:color w:val="auto"/>
        </w:rPr>
        <w:t>107.2</w:t>
      </w:r>
      <w:r>
        <w:rPr>
          <w:rFonts w:hint="eastAsia"/>
          <w:color w:val="auto"/>
        </w:rPr>
        <w:tab/>
      </w:r>
      <w:r>
        <w:rPr>
          <w:rFonts w:hint="eastAsia"/>
          <w:color w:val="auto"/>
        </w:rPr>
        <w:t>106</w:t>
      </w:r>
      <w:r>
        <w:rPr>
          <w:rFonts w:hint="eastAsia"/>
          <w:color w:val="auto"/>
        </w:rPr>
        <w:tab/>
      </w:r>
      <w:r>
        <w:rPr>
          <w:rFonts w:hint="eastAsia"/>
          <w:color w:val="auto"/>
        </w:rPr>
        <w:tab/>
      </w:r>
    </w:p>
    <w:p>
      <w:pPr>
        <w:jc w:val="left"/>
        <w:rPr>
          <w:rFonts w:hint="eastAsia"/>
          <w:color w:val="auto"/>
        </w:rPr>
      </w:pPr>
      <w:r>
        <w:rPr>
          <w:rFonts w:hint="eastAsia"/>
          <w:color w:val="auto"/>
        </w:rPr>
        <w:t>美国4月谘商会消费者预期指数</w:t>
      </w:r>
      <w:r>
        <w:rPr>
          <w:rFonts w:hint="eastAsia"/>
          <w:color w:val="auto"/>
        </w:rPr>
        <w:tab/>
      </w:r>
      <w:r>
        <w:rPr>
          <w:rFonts w:hint="eastAsia"/>
          <w:color w:val="auto"/>
        </w:rPr>
        <w:t>76.6</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美国4月谘商会消费者现况指数</w:t>
      </w:r>
      <w:r>
        <w:rPr>
          <w:rFonts w:hint="eastAsia"/>
          <w:color w:val="auto"/>
        </w:rPr>
        <w:tab/>
      </w:r>
      <w:r>
        <w:rPr>
          <w:rFonts w:hint="eastAsia"/>
          <w:color w:val="auto"/>
        </w:rPr>
        <w:t>153</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22:00</w:t>
      </w:r>
      <w:r>
        <w:rPr>
          <w:rFonts w:hint="eastAsia"/>
          <w:color w:val="auto"/>
        </w:rPr>
        <w:tab/>
      </w:r>
      <w:r>
        <w:rPr>
          <w:rFonts w:hint="eastAsia"/>
          <w:color w:val="auto"/>
        </w:rPr>
        <w:t>美国3月季调后新屋销售年化总数(万户)</w:t>
      </w:r>
      <w:r>
        <w:rPr>
          <w:rFonts w:hint="eastAsia"/>
          <w:color w:val="auto"/>
        </w:rPr>
        <w:tab/>
      </w:r>
      <w:r>
        <w:rPr>
          <w:rFonts w:hint="eastAsia"/>
          <w:color w:val="auto"/>
        </w:rPr>
        <w:t>77.2</w:t>
      </w:r>
      <w:r>
        <w:rPr>
          <w:rFonts w:hint="eastAsia"/>
          <w:color w:val="auto"/>
        </w:rPr>
        <w:tab/>
      </w:r>
      <w:r>
        <w:rPr>
          <w:rFonts w:hint="eastAsia"/>
          <w:color w:val="auto"/>
        </w:rPr>
        <w:t>77.6</w:t>
      </w:r>
      <w:r>
        <w:rPr>
          <w:rFonts w:hint="eastAsia"/>
          <w:color w:val="auto"/>
        </w:rPr>
        <w:tab/>
      </w:r>
      <w:r>
        <w:rPr>
          <w:rFonts w:hint="eastAsia"/>
          <w:color w:val="auto"/>
        </w:rPr>
        <w:tab/>
      </w:r>
    </w:p>
    <w:p>
      <w:pPr>
        <w:jc w:val="left"/>
        <w:rPr>
          <w:rFonts w:hint="eastAsia"/>
          <w:color w:val="auto"/>
        </w:rPr>
      </w:pPr>
      <w:r>
        <w:rPr>
          <w:rFonts w:hint="eastAsia"/>
          <w:color w:val="auto"/>
        </w:rPr>
        <w:t>美国3月季调后新屋销售年化月率(%)</w:t>
      </w:r>
      <w:r>
        <w:rPr>
          <w:rFonts w:hint="eastAsia"/>
          <w:color w:val="auto"/>
        </w:rPr>
        <w:tab/>
      </w:r>
      <w:r>
        <w:rPr>
          <w:rFonts w:hint="eastAsia"/>
          <w:color w:val="auto"/>
        </w:rPr>
        <w:t>-2</w:t>
      </w:r>
      <w:r>
        <w:rPr>
          <w:rFonts w:hint="eastAsia"/>
          <w:color w:val="auto"/>
        </w:rPr>
        <w:tab/>
      </w:r>
      <w:r>
        <w:rPr>
          <w:rFonts w:hint="eastAsia"/>
          <w:color w:val="auto"/>
        </w:rPr>
        <w:t>0.3</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三大指数低开低走，市场震荡下挫，上午多次考验3000点整数直至午后迅速走弱，沪指击穿3000点并跌超5%，刷新2020年7月以来新低，截至收盘，沪指跌5.13%，报2928.51点，深成指跌6.08%，报10379.28点，创业板指跌5.56%，报2169点。沪深两市合计成交额8969亿元；北向资金实际净卖出43.96亿元。两市超过4600只个股下跌。</w:t>
      </w:r>
    </w:p>
    <w:p>
      <w:pPr>
        <w:jc w:val="left"/>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这与降准降息略低于预期、北京疫情再起，疫情预期带来短期经济数据偏弱、人民币汇率贬值、外围大幅下跌以及个股年报季报集中公示引起爆雷因素等等因素让市场中枢继续下降，但跌幅如此大仍让人表示惊讶，看来市场风险偏好的回升需有待更多基本面和政策信号得到验证，如疫情走势、企业复工复产进度及4月政治局会议定调等。今天政策面还在不停喊话，而业已形成的经济悲观预期已成最大阻碍。明后天市场相当重要，是否收复3000（至少3020 ，最佳3060）重回震荡区间还是3000成为短期阻力，需要特别注意了。而在市场底部确认未形成之前，整体控制好仓位下，短期拉升不追高，只做日内，轻仓短线。</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元收涨于101.73部位；人民币离岸价收贬于6.569。欧美股市美强欧弱。避险浪潮冲击全球市场。国际原油跌幅进一步扩大，美国原油大跌6.5美元。在中国需求疲软和美国加大升息力度提振美元大涨后，市场进一步担忧全球经济前景。芝加哥(CBOT)大豆下跌，豆油从纪录高位回落，令市场承压。中国实施疫情封控措施可能导致需求放缓，是另一个利空因素。CBOT 7月大豆下跌12-3/4美分，结算价报每蒲式耳16.75-1/4美元。该合约在盘中稍早跌破10日移动均线，为4月6日以来首次。7月豆油下跌0.43美分，结算价报每磅80.08美分。7月豆粕下跌6.5美元，结算价报每短吨445.60美元。印尼农业部表示，原定的出口禁令将不包括棕榈油出口。豆油疲软打压大豆和豆粕，同时市场面临原油价格大幅下跌的不利因素，以及最大买家中国实施抗疫封锁可能会导致需求下滑的担忧。爱荷华州顶峰商品经纪公司的分析师Tomm Pfitzenmaier在一份给客户的报告中说：“市场亦担忧封锁对经济以及对大宗商品和原油的潜在需求产生负面影响。”美国农业部公布的周度出口检验报告显示，截至2022年4月21日当周，美国大豆出口检验量为602,178吨，此前市场预估为60-107.5万吨，当周，对中国大陆的大豆出口检验量为270,653吨，占出口检验总量的44.95%。民间出口商报告向中国出口销售330,000吨大豆，其中66,000吨为2021/22市场年度交付，另外264,000吨为2022/23市场年度交付。此外还报告向中国出口销售204,000吨大豆，2022/23市场年度交付。收盘后的每周作物生长报告显示，截至2022年4月24日当周，美国大豆种植率为3%，与预估相符，此前一周为1%，去年同期为7%，五年均值为5%。　　</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框架如前，美豆在内外部共振条件下脱离区间上沿回撤。大连盘跟随。9月油粕比在2.72；粕5－9逆差在120点。粕9日内看3950－4000的波动，宜灵活。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股反弹，美元指数上涨，美棉低开，收下影线，7月合约最新价格135美分。周一股市跌破3000点，商品普遍下跌，郑棉9月最新价格21095元。截至4月19日，全美干旱面积占比为55.4%，较前一周（56.7%）小幅下降1.3%，但极度及异常干旱面积占比达20%，环比上周（19.4%）上升0.6%。其中，主产棉区得州干旱面积占比87.4%，较前一周（87.7%）下降0.3%，极度及异常干旱面积占比达53.5%，环比上周（49.1%）大幅上升4.4%。目前印度棉花价格高于国际棉价，近日，受免税进口消息影响，棉价略有松动，印度棉一口价资源报165美分左右。25日棉花现货指数CCI3128B报价22497元/吨（-20）；Index  M到港价152.75美分/磅（-2.12）；CY Index C32S 现货报价28695元/吨（-25）；FCY Index C32S 现货报价28996元/吨（-14）。国内棉花市场皮棉现货报价下跌，各大棉花企业销售积极性较高,由于多数企业对后市信心不足,认为下跌的因素较高,企业积极促销。目前纺织企业继续维持刚需性补库，整体市场成交并无大幅增加。综上，美棉干旱问题依然存在，农资成本居高不下；国内需求低迷。</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操作上，策略如前，中长期空单续持。</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钢材周一价格大幅回落，螺纹2210合约收于4794，热卷2210合约收于4887。现货方面，25日唐山普方坯出厂价报4790（-40），上海地区螺纹钢现货价格(HRB400 20mm)4990元（-60），热卷现货价格(4.75mm)4960元（-90）。</w:t>
            </w:r>
          </w:p>
          <w:p>
            <w:pPr>
              <w:widowControl/>
              <w:suppressAutoHyphens w:val="0"/>
              <w:ind w:firstLine="630" w:firstLineChars="300"/>
              <w:jc w:val="left"/>
              <w:rPr>
                <w:rFonts w:hint="eastAsia"/>
                <w:color w:val="auto"/>
              </w:rPr>
            </w:pPr>
            <w:r>
              <w:rPr>
                <w:rFonts w:hint="eastAsia"/>
                <w:color w:val="auto"/>
              </w:rPr>
              <w:t>务院办公厅发布关于进一步释放消费潜力促进消费持续恢复的意见，提出围绕保市场主体加大助企纾困力度。深入落实扶持制造业、小微企业和个体工商户的减税退税降费政策。以汽车、家电为重点，引导企业面向农村开展促销，鼓励有条件的地区开展新能源汽车和绿色智能家电下乡，推进充电桩（站）等配套设施建设。稳定增加汽车等大宗消费，各地区不得新增汽车限购措施。</w:t>
            </w:r>
          </w:p>
          <w:p>
            <w:pPr>
              <w:widowControl/>
              <w:suppressAutoHyphens w:val="0"/>
              <w:ind w:firstLine="630" w:firstLineChars="300"/>
              <w:jc w:val="left"/>
              <w:rPr>
                <w:rFonts w:hint="eastAsia"/>
                <w:color w:val="auto"/>
              </w:rPr>
            </w:pPr>
            <w:r>
              <w:rPr>
                <w:rFonts w:hint="eastAsia"/>
                <w:color w:val="auto"/>
              </w:rPr>
              <w:t>中钢协：一季度，主要用钢行业实际钢材消费同比下降5%，其中建筑业下降7%，制造业下降2%。同期，中国钢表观消费量约2.35亿吨，同比下降9.5%。随着疫情的控制，钢铁产业的供应链、产业链的改善，以及大宗物流的逐步顺畅，钢铁消费后期看好。</w:t>
            </w:r>
          </w:p>
          <w:p>
            <w:pPr>
              <w:widowControl/>
              <w:suppressAutoHyphens w:val="0"/>
              <w:ind w:firstLine="630" w:firstLineChars="300"/>
              <w:jc w:val="left"/>
              <w:rPr>
                <w:rFonts w:hint="eastAsia"/>
                <w:color w:val="auto"/>
              </w:rPr>
            </w:pPr>
            <w:r>
              <w:rPr>
                <w:rFonts w:hint="eastAsia"/>
                <w:color w:val="auto"/>
              </w:rPr>
              <w:t>天津首轮集中供地收官，土地市场寒意犹存。根据出让结果，天津首轮集中供地共30宗地块，停牌15宗、流拍9宗、底价成交5宗；土地总成交面积48.6平方米，总成交金额约43.48亿元，相比去年的首轮土拍，分别下降了83%和91%。</w:t>
            </w:r>
          </w:p>
          <w:p>
            <w:pPr>
              <w:widowControl/>
              <w:suppressAutoHyphens w:val="0"/>
              <w:ind w:firstLine="630" w:firstLineChars="300"/>
              <w:jc w:val="left"/>
              <w:rPr>
                <w:rFonts w:hint="eastAsia" w:eastAsia="宋体"/>
                <w:color w:val="auto"/>
                <w:lang w:val="en-US" w:eastAsia="zh-CN"/>
              </w:rPr>
            </w:pPr>
            <w:r>
              <w:rPr>
                <w:rFonts w:hint="eastAsia"/>
                <w:color w:val="auto"/>
              </w:rPr>
              <w:t>昨日大宗商品多数下跌，钢材价格大幅回落。钢材的回落一方面受到上游原材料价格大跌成本快速下行的影响，一方面当前国内疫情影响持续，宏观层面预期转弱，前期支撑钢材价格的两点因素阶段性转向，导致钢材转向下行。</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整体来看，后续市场将逐步回归到钢材真实供需的逻辑上，考虑到房地产仍未止跌同时国内疫情的影响仍在，需求端阶段性的弱势可以预见，整体钢材承压偏空运行,跟随操作。关注疫情受控后下游消费的真实承接水平。</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昨日进口铁矿港口现货全天价格下跌12-35。现青岛港PB粉918跌24，超特粉686跌21；曹妃甸港PB粉915跌35，超特粉690跌12；天津港PB粉940跌36，麦克粉928跌21；江内港PB粉993跌15，超特粉730跌15；鲅鱼圈港PB粉970跌24；防城港港PB粉935跌25。</w:t>
            </w:r>
          </w:p>
          <w:p>
            <w:pPr>
              <w:widowControl/>
              <w:suppressAutoHyphens w:val="0"/>
              <w:jc w:val="left"/>
              <w:rPr>
                <w:rFonts w:hint="eastAsia"/>
                <w:color w:val="auto"/>
              </w:rPr>
            </w:pPr>
            <w:r>
              <w:rPr>
                <w:rFonts w:hint="eastAsia"/>
                <w:color w:val="auto"/>
              </w:rPr>
              <w:t xml:space="preserve">      4月18日-24日，中国47港铁矿石到港总量2309.2万吨，环比增加19.3万吨；中国45港铁矿石到港总量2273.3万吨，环比增加29.8万吨；北方六港铁矿石到港总量为1085.3万吨，环比减少98.0万吨。</w:t>
            </w:r>
          </w:p>
          <w:p>
            <w:pPr>
              <w:widowControl/>
              <w:suppressAutoHyphens w:val="0"/>
              <w:jc w:val="left"/>
              <w:rPr>
                <w:rFonts w:hint="eastAsia" w:eastAsia="宋体"/>
                <w:color w:val="auto"/>
                <w:lang w:val="en-US" w:eastAsia="zh-CN"/>
              </w:rPr>
            </w:pPr>
            <w:r>
              <w:rPr>
                <w:rFonts w:hint="eastAsia"/>
                <w:color w:val="auto"/>
              </w:rPr>
              <w:t xml:space="preserve">       昨日铁矿石期货价格大幅下跌，夜盘弱势震荡，当前全国疫情多地频发并蔓延，终端需求持续疲弱，疫情加剧了市场对未来经济增长的担忧；同时，上周上周发改委明确今年粗钢产量同比下降目标，降低了未来生铁产量增长的空间，对后期的原料需求带来压制；产业政策和需求疲弱共同作用下，市场情绪悲观，价格大幅下跌，在实际需求未改善前，弱势格局难改</w:t>
            </w:r>
            <w:r>
              <w:rPr>
                <w:rFonts w:hint="eastAsia"/>
                <w:color w:val="auto"/>
                <w:lang w:eastAsia="zh-CN"/>
              </w:rPr>
              <w:t>。</w:t>
            </w:r>
          </w:p>
          <w:p>
            <w:pPr>
              <w:widowControl/>
              <w:suppressAutoHyphens w:val="0"/>
              <w:jc w:val="left"/>
              <w:rPr>
                <w:rFonts w:hint="eastAsia" w:eastAsia="宋体"/>
                <w:color w:val="auto"/>
                <w:lang w:val="en-US" w:eastAsia="zh-CN"/>
              </w:rPr>
            </w:pP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波段沽空为主。</w:t>
            </w:r>
          </w:p>
          <w:p>
            <w:pPr>
              <w:rPr>
                <w:rFonts w:hint="eastAsia"/>
                <w:b/>
                <w:color w:val="auto"/>
                <w:lang w:eastAsia="zh-CN"/>
              </w:rPr>
            </w:pPr>
          </w:p>
          <w:p>
            <w:pPr>
              <w:rPr>
                <w:rFonts w:hint="eastAsia"/>
                <w:b/>
                <w:color w:val="auto"/>
                <w:lang w:eastAsia="zh-CN"/>
              </w:rPr>
            </w:pPr>
            <w:r>
              <w:rPr>
                <w:rFonts w:hint="eastAsia"/>
                <w:b/>
                <w:color w:val="auto"/>
                <w:lang w:eastAsia="zh-CN"/>
              </w:rPr>
              <w:t>(</w:t>
            </w: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现货市场，双焦市场价格持稳运行。山西介休1.3硫主焦2900元/吨，蒙5金泉提货价3000元/吨；吕梁准一出厂价3750元/吨，唐山二级焦到厂价3850元/吨，青岛港准一焦平仓价4000元/吨。</w:t>
            </w:r>
          </w:p>
          <w:p>
            <w:pPr>
              <w:widowControl/>
              <w:suppressAutoHyphens w:val="0"/>
              <w:ind w:firstLine="630" w:firstLineChars="300"/>
              <w:jc w:val="left"/>
              <w:rPr>
                <w:rFonts w:hint="eastAsia"/>
                <w:color w:val="auto"/>
              </w:rPr>
            </w:pPr>
            <w:r>
              <w:rPr>
                <w:rFonts w:hint="eastAsia"/>
                <w:color w:val="auto"/>
              </w:rPr>
              <w:t>各地产销，山西地区除个别煤矿例行检修外，其余煤矿均正常生产，整体产量维持正常水平；内蒙地区今日环保组正式撤离，短期内煤矿产量依旧偏低，叠加月底部分煤矿产能指标已经消耗完毕，整体出煤量偏低。焦企方面，山西区域运输环节逐步通畅，焦企多有恢复生产，整体开工有所增加。钢厂方面，近期焦炭到货有所好转，但整体维持偏低库存水平，焦炭补库意愿强烈。</w:t>
            </w:r>
          </w:p>
          <w:p>
            <w:pPr>
              <w:widowControl/>
              <w:suppressAutoHyphens w:val="0"/>
              <w:ind w:firstLine="630" w:firstLineChars="300"/>
              <w:jc w:val="left"/>
              <w:rPr>
                <w:rFonts w:hint="eastAsia"/>
                <w:color w:val="auto"/>
              </w:rPr>
            </w:pPr>
            <w:r>
              <w:rPr>
                <w:rFonts w:hint="eastAsia"/>
                <w:color w:val="auto"/>
              </w:rPr>
              <w:t xml:space="preserve"> 中共中央政治局常委、国务院总理李克强发表重要讲话强调，当前要高度重视国内外形势出现超预期变化对我国经济造成的影响，已确定的政策举措上半年要大头落地，以稳就业稳物价稳供应切实稳住经济基本盘。</w:t>
            </w:r>
          </w:p>
          <w:p>
            <w:pPr>
              <w:widowControl/>
              <w:suppressAutoHyphens w:val="0"/>
              <w:ind w:firstLine="630" w:firstLineChars="300"/>
              <w:jc w:val="left"/>
              <w:rPr>
                <w:rFonts w:hint="eastAsia"/>
                <w:color w:val="auto"/>
              </w:rPr>
            </w:pPr>
            <w:r>
              <w:rPr>
                <w:rFonts w:hint="eastAsia"/>
                <w:color w:val="auto"/>
              </w:rPr>
              <w:t>为提升金融机构外汇资金运用能力，央行决定，自2022年5月15日起，下调金融机构外汇存款准备金率1个百分点，即外汇存款准备金率由现行的9%下调至8%。</w:t>
            </w:r>
          </w:p>
          <w:p>
            <w:pPr>
              <w:widowControl/>
              <w:suppressAutoHyphens w:val="0"/>
              <w:ind w:firstLine="630" w:firstLineChars="300"/>
              <w:jc w:val="left"/>
              <w:rPr>
                <w:rFonts w:hint="eastAsia" w:eastAsia="宋体"/>
                <w:color w:val="auto"/>
                <w:lang w:val="en-US" w:eastAsia="zh-CN"/>
              </w:rPr>
            </w:pPr>
            <w:r>
              <w:rPr>
                <w:rFonts w:hint="eastAsia"/>
                <w:color w:val="auto"/>
              </w:rPr>
              <w:t>整体来看，粗钢产量同比压减的政策下，双焦需求预期减弱，同时市场也开始担忧疫情缓解后终端需求不及预期的风险。双焦9月合约前期涨幅较大，短期回调的幅度也相应较大，目前仍以承压为主</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短线思路，关注终端需求预期的变化。</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低开低走，沪铝主力月2206合约收至20700元/吨，跌1200元，跌幅5.48%。现货方面，25日长江现货成交价格20920-20960元/吨，跌860元，贴水70-贴水30；广东南储报21060-21120元/吨，跌840元；华通报20980-21020元/吨，跌850元。临近月底，市场当月票货源受到青睐，买兴氛围回升，接货商积极入场询价采购，持货商调价出货换现，交投状况好转，整体成交量暴涨。</w:t>
            </w:r>
          </w:p>
          <w:p>
            <w:pPr>
              <w:widowControl/>
              <w:suppressAutoHyphens w:val="0"/>
              <w:ind w:firstLine="630" w:firstLineChars="300"/>
              <w:jc w:val="left"/>
              <w:rPr>
                <w:rFonts w:hint="eastAsia"/>
                <w:color w:val="auto"/>
                <w:lang w:val="en-US" w:eastAsia="zh-CN"/>
              </w:rPr>
            </w:pPr>
            <w:r>
              <w:rPr>
                <w:rFonts w:hint="eastAsia"/>
                <w:color w:val="auto"/>
                <w:lang w:val="en-US" w:eastAsia="zh-CN"/>
              </w:rPr>
              <w:t>25日，SMM统计国内电解铝社会库存101.6万吨，较上周四库存减少0.5万吨，电解铝库存整体降库趋势不改。25日LME铝库存下降1950吨，其中巴生减少2200吨仍为主要降幅仓库，柔佛减少1000吨次之，其他鹿特丹、巴尔的摩有少量下降，仅新加坡仓库贡献1450吨增幅。</w:t>
            </w:r>
          </w:p>
          <w:p>
            <w:pPr>
              <w:widowControl/>
              <w:suppressAutoHyphens w:val="0"/>
              <w:ind w:firstLine="630" w:firstLineChars="300"/>
              <w:jc w:val="left"/>
              <w:rPr>
                <w:color w:val="auto"/>
              </w:rPr>
            </w:pPr>
            <w:r>
              <w:rPr>
                <w:rFonts w:hint="eastAsia"/>
                <w:color w:val="auto"/>
                <w:lang w:val="en-US" w:eastAsia="zh-CN"/>
              </w:rPr>
              <w:t>俄乌冲突下俄罗斯面临欧盟以及其他北约国家新一轮制裁，俄铝向外出口受阻，欧洲铝企减产预期仍存，海外供应忧虑持续。国内云南、广西等地电解铝复产及新增产能投产提速，产量有望赶超去年同期。下游华东地区疫情未得到缓解，部分企业被迫减产，国内铝锭库存去库速度放缓。近日美联储持续释放鹰派信号，美元大涨，宏观氛围偏空，且需求暂无明显好转迹象，市场悲观情绪浓厚。</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操作上建议轻仓逢低试多，警惕回调风险。</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有色组）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美股下探回升，全球金融市场恶劣的情绪有所缓，俄乌冲突、美联储加息以及全球经济前景看淡依旧笼罩于全球主要金融市场。国内疫情防控形势严峻，人民币近期大幅贬值和股市连续大跌反映出市场对国内经济状况的担忧情绪，近期高层密集在投资、消费、房地产等问题发声，有利于缓和市场情绪，不过想要扭转局面仍需要时间。昨日国内工业品期货指数大幅下跌，市场系统性风险显著增加，对胶价带来明显利空打压，后市仍需要关注整体工业品期货指数的动向。行业方面，昨日泰国原料价格以反弹为主，国内云南地区胶水收购价暂时持稳于偏低水平，海南胶水产量稀少，胶水收购价明显下跌至11.7（制全乳），向下的低价支撑力料增加。昨日国内现货市场天然橡胶现货价格小幅下跌（全乳胶12375元/吨，-250/-1.98%；20号泰标1680美元/吨，-40/-2.33%，折合人民币10905元/吨；20号泰混12450元/吨，-200/-1.58%），现货价格较期货价格体现一定相对坚挺性，下游询盘采买积极性有所提升，市场交投氛围较前期有所活跃。</w:t>
            </w:r>
          </w:p>
          <w:p>
            <w:pPr>
              <w:widowControl/>
              <w:suppressAutoHyphens w:val="0"/>
              <w:ind w:firstLine="630" w:firstLineChars="300"/>
              <w:jc w:val="left"/>
              <w:rPr>
                <w:rFonts w:hint="eastAsia" w:eastAsia="宋体"/>
                <w:color w:val="auto"/>
                <w:lang w:eastAsia="zh-CN"/>
              </w:rPr>
            </w:pPr>
            <w:r>
              <w:rPr>
                <w:rFonts w:hint="eastAsia"/>
                <w:color w:val="auto"/>
              </w:rPr>
              <w:t>技术面：昨日RU2209大幅下跌，最低探至12500上方，短线形成明显超跌，不过夜盘尾盘明显反弹，且多空持仓大幅下降，空头向下打压的量能多已释放，短期止跌的可能性较大，不过考虑到整体依旧保持跌势，胶价反弹的空间料也有限，上方压力在12800-12900，下方支撑在12600附近。</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操作建议：日内轻仓交易为主，低位震荡思路。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伊朗外交部发言人表示，重启谈判以挽救2015年的核协议可能迫在眉睫，并表示中断“不符合任何一方的利益”。 预计美国原油库存将出现季节性上涨，但炼油需求强劲。至4月22日当周，美湾Platts ULSD与WTI的裂解价差平均接近50美元/桶，较前一周上涨近7美元/桶。根据EIA基于贝克休斯数据的月度估计，自2020年8月美国运营钻机数量处于低位以来，钻机数量每月都在上升，到2022年2月达到636台。最近一周的数据显示，截至4月15日的一周，总钻机数增加到693台，比2021年同期增加了254台，是自2020年4月以来的最高数量。近期钻探活动大幅增加，在过去七周内增加了43个钻井平台。而且，在地缘政治冲突前7周，也增加了62个钻井平台。美国能源信息署(EIA)周三发布的数据显示，截至4月15日当周，美国原油库存下降800万桶，至4.1373亿桶，市场预估为增加250万桶。上周在俄克拉荷马州库欣仓库的原油库存下降18.5万桶至2615万桶。新浪报道，俄罗斯4月1日至19日日原油产量进一步下跌至1011万桶/日。伊拉克副总理：不太可能增加石油出口，支持欧佩克减产。伊拉克3月份产量为434万桶/日，较2月份增加8万桶/日，略低于欧佩克437万桶/日的产量上限。中国对中东原油的依赖在2022年第一季度急剧增加，交付量增长4.8%至560万桶/日，市场份额为53.8%。俄罗斯交付量下降近11%，至155万桶/日。4月19日，美国石油协会（API）公布数据显示，美国至4月15日当周API原油库存减少449.6万桶，预期增加253.3万桶，前值增加775.7万桶。</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对石油需求增长减缓的担忧加剧，国际油价继续下跌，美联储加息的预期也打压了市场气氛。6月WTI跌3.53报98.54美元/桶，跌幅3.5%；6月布伦特跌4.33报102.32美元/桶，跌幅4.1%。</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操作思路以震荡偏空为主，关注布伦特原油震荡区间95-110美元/桶，注意止盈止损。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8D77793"/>
    <w:rsid w:val="09656767"/>
    <w:rsid w:val="099174FC"/>
    <w:rsid w:val="0A57325E"/>
    <w:rsid w:val="0A624104"/>
    <w:rsid w:val="0B544A92"/>
    <w:rsid w:val="0C12090D"/>
    <w:rsid w:val="0D7A2D36"/>
    <w:rsid w:val="12294B95"/>
    <w:rsid w:val="124F21B0"/>
    <w:rsid w:val="14E22F0B"/>
    <w:rsid w:val="16714D70"/>
    <w:rsid w:val="18B11A3E"/>
    <w:rsid w:val="18B21305"/>
    <w:rsid w:val="195C02AF"/>
    <w:rsid w:val="1A8E2066"/>
    <w:rsid w:val="1C955016"/>
    <w:rsid w:val="1CAE3AF0"/>
    <w:rsid w:val="1EC70303"/>
    <w:rsid w:val="1F7E29BD"/>
    <w:rsid w:val="20970D76"/>
    <w:rsid w:val="226C1608"/>
    <w:rsid w:val="227F224C"/>
    <w:rsid w:val="23F270CF"/>
    <w:rsid w:val="2A7A4984"/>
    <w:rsid w:val="2B252FF2"/>
    <w:rsid w:val="2D8D3BC9"/>
    <w:rsid w:val="31EC1213"/>
    <w:rsid w:val="321D62B5"/>
    <w:rsid w:val="341F7FC4"/>
    <w:rsid w:val="353D5E3C"/>
    <w:rsid w:val="358935BB"/>
    <w:rsid w:val="36AB3BBE"/>
    <w:rsid w:val="384D33C8"/>
    <w:rsid w:val="3CF13880"/>
    <w:rsid w:val="406C6812"/>
    <w:rsid w:val="40A56BD2"/>
    <w:rsid w:val="41A00C7B"/>
    <w:rsid w:val="424E1F35"/>
    <w:rsid w:val="426E1857"/>
    <w:rsid w:val="430419B8"/>
    <w:rsid w:val="442D0F38"/>
    <w:rsid w:val="4A29450B"/>
    <w:rsid w:val="4A2A5B0A"/>
    <w:rsid w:val="4B25247A"/>
    <w:rsid w:val="4CDB5F58"/>
    <w:rsid w:val="4D9E7DC0"/>
    <w:rsid w:val="4DA0349C"/>
    <w:rsid w:val="4FCE0CA2"/>
    <w:rsid w:val="501C1047"/>
    <w:rsid w:val="509328D4"/>
    <w:rsid w:val="5132643B"/>
    <w:rsid w:val="526922B9"/>
    <w:rsid w:val="53B809A0"/>
    <w:rsid w:val="578723B2"/>
    <w:rsid w:val="5B922A05"/>
    <w:rsid w:val="5CDE1F17"/>
    <w:rsid w:val="5FAE7A14"/>
    <w:rsid w:val="60593F12"/>
    <w:rsid w:val="66714647"/>
    <w:rsid w:val="66CC74E1"/>
    <w:rsid w:val="73C8743F"/>
    <w:rsid w:val="7A3D7229"/>
    <w:rsid w:val="7A857A1E"/>
    <w:rsid w:val="7A8C2DBA"/>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2</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2022-04-26T00:46:34Z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