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color w:val="auto"/>
          <w:kern w:val="0"/>
          <w:szCs w:val="21"/>
          <w:lang w:eastAsia="zh-CN"/>
        </w:rPr>
      </w:pPr>
      <w:r>
        <w:rPr>
          <w:rFonts w:hint="eastAsia" w:ascii="宋体" w:hAnsi="宋体" w:cs="宋体"/>
          <w:color w:val="auto"/>
          <w:kern w:val="0"/>
          <w:szCs w:val="21"/>
          <w:lang w:eastAsia="zh-CN"/>
        </w:rPr>
        <w:t>道通早报</w:t>
      </w:r>
    </w:p>
    <w:p>
      <w:pPr>
        <w:widowControl/>
        <w:jc w:val="right"/>
        <w:rPr>
          <w:rFonts w:ascii="宋体" w:hAnsi="宋体" w:cs="宋体"/>
          <w:color w:val="auto"/>
          <w:kern w:val="0"/>
          <w:szCs w:val="21"/>
          <w:lang w:eastAsia="zh-CN"/>
        </w:rPr>
      </w:pPr>
      <w:r>
        <w:rPr>
          <w:rFonts w:hint="eastAsia" w:ascii="宋体" w:hAnsi="宋体" w:cs="宋体"/>
          <w:color w:val="auto"/>
          <w:kern w:val="0"/>
          <w:szCs w:val="21"/>
          <w:lang w:eastAsia="zh-CN"/>
        </w:rPr>
        <w:t>日期：202</w:t>
      </w: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年</w:t>
      </w:r>
      <w:r>
        <w:rPr>
          <w:rFonts w:hint="eastAsia" w:ascii="宋体" w:hAnsi="宋体" w:cs="宋体"/>
          <w:color w:val="auto"/>
          <w:kern w:val="0"/>
          <w:szCs w:val="21"/>
          <w:lang w:val="en-US" w:eastAsia="zh-CN"/>
        </w:rPr>
        <w:t>4月21</w:t>
      </w:r>
      <w:r>
        <w:rPr>
          <w:rFonts w:hint="eastAsia" w:ascii="宋体" w:hAnsi="宋体" w:cs="宋体"/>
          <w:color w:val="auto"/>
          <w:kern w:val="0"/>
          <w:szCs w:val="21"/>
          <w:lang w:eastAsia="zh-CN"/>
        </w:rPr>
        <w:t>日</w:t>
      </w: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【经济要闻】</w:t>
      </w:r>
    </w:p>
    <w:p>
      <w:pPr>
        <w:rPr>
          <w:color w:val="auto"/>
        </w:rPr>
      </w:pPr>
    </w:p>
    <w:p>
      <w:pPr>
        <w:jc w:val="left"/>
        <w:rPr>
          <w:color w:val="auto"/>
        </w:rPr>
      </w:pPr>
    </w:p>
    <w:p>
      <w:pPr>
        <w:jc w:val="left"/>
        <w:rPr>
          <w:rFonts w:hint="eastAsia"/>
          <w:color w:val="auto"/>
        </w:rPr>
      </w:pPr>
      <w:r>
        <w:rPr>
          <w:rFonts w:hint="eastAsia"/>
          <w:color w:val="auto"/>
        </w:rPr>
        <w:t>【国际宏观基本面信息】</w:t>
      </w:r>
    </w:p>
    <w:p>
      <w:pPr>
        <w:jc w:val="left"/>
        <w:rPr>
          <w:rFonts w:hint="eastAsia"/>
          <w:color w:val="auto"/>
        </w:rPr>
      </w:pPr>
      <w:r>
        <w:rPr>
          <w:rFonts w:hint="eastAsia"/>
          <w:color w:val="auto"/>
        </w:rPr>
        <w:t>1  亚特兰大联储主席表示，将通胀保持在可控水平很重要，但决策者不应采取损害经济的剧烈行动，尤其是在目前这种全球经济前景疲软的情况下</w:t>
      </w:r>
    </w:p>
    <w:p>
      <w:pPr>
        <w:jc w:val="left"/>
        <w:rPr>
          <w:rFonts w:hint="eastAsia"/>
          <w:color w:val="auto"/>
        </w:rPr>
      </w:pPr>
      <w:r>
        <w:rPr>
          <w:rFonts w:hint="eastAsia"/>
          <w:color w:val="auto"/>
        </w:rPr>
        <w:t>2  数据显示，因消费商品产出增加抵消了能源和资本产出的下滑，2月欧元区工业生产如预期般从1月的下滑中反弹。此后地缘局势在3月份严重动摇了商业信心,因能源价格飙升导致能源进口额大幅增加</w:t>
      </w:r>
    </w:p>
    <w:p>
      <w:pPr>
        <w:jc w:val="left"/>
        <w:rPr>
          <w:rFonts w:hint="eastAsia"/>
          <w:color w:val="auto"/>
        </w:rPr>
      </w:pPr>
      <w:r>
        <w:rPr>
          <w:rFonts w:hint="eastAsia"/>
          <w:color w:val="auto"/>
        </w:rPr>
        <w:t>3  欧洲央行管委雷恩：可能需要在今年春季下修经济增长预估   ,根据目前的展望，预计今年通胀率将加速至6%-7%</w:t>
      </w:r>
    </w:p>
    <w:p>
      <w:pPr>
        <w:jc w:val="left"/>
        <w:rPr>
          <w:rFonts w:hint="eastAsia"/>
          <w:color w:val="auto"/>
        </w:rPr>
      </w:pPr>
      <w:r>
        <w:rPr>
          <w:rFonts w:hint="eastAsia"/>
          <w:color w:val="auto"/>
        </w:rPr>
        <w:t>4  日本央行表示，由于10年期国债收益率触及其容忍区间的上限，周三将以0.25%的固定利率无限量购买10年期政府债券。据悉日本央行还将于4月21日、22日、25日和26日连续几天以固定利率购买债券，并且可能将在4月26日增加购买量。\</w:t>
      </w:r>
    </w:p>
    <w:p>
      <w:pPr>
        <w:jc w:val="left"/>
        <w:rPr>
          <w:rFonts w:hint="eastAsia"/>
          <w:color w:val="auto"/>
        </w:rPr>
      </w:pPr>
    </w:p>
    <w:p>
      <w:pPr>
        <w:jc w:val="left"/>
        <w:rPr>
          <w:rFonts w:hint="eastAsia"/>
          <w:color w:val="auto"/>
        </w:rPr>
      </w:pPr>
      <w:r>
        <w:rPr>
          <w:rFonts w:hint="eastAsia"/>
          <w:color w:val="auto"/>
        </w:rPr>
        <w:t>【国内宏观基本面信息】</w:t>
      </w:r>
    </w:p>
    <w:p>
      <w:pPr>
        <w:jc w:val="left"/>
        <w:rPr>
          <w:rFonts w:hint="eastAsia"/>
          <w:color w:val="auto"/>
        </w:rPr>
      </w:pPr>
      <w:r>
        <w:rPr>
          <w:rFonts w:hint="eastAsia"/>
          <w:color w:val="auto"/>
        </w:rPr>
        <w:t>1 李克强主持召开国务院常务会议，会议指出，稳就业与稳物价同是保持经济运行在合理区间的主要支撑确保粮食丰收和重要农产品稳定供应；确定能源保供增供举措，提升能源对经济社会发展的保障能力。</w:t>
      </w:r>
    </w:p>
    <w:p>
      <w:pPr>
        <w:jc w:val="left"/>
        <w:rPr>
          <w:rFonts w:hint="eastAsia"/>
          <w:color w:val="auto"/>
        </w:rPr>
      </w:pPr>
      <w:r>
        <w:rPr>
          <w:rFonts w:hint="eastAsia"/>
          <w:color w:val="auto"/>
        </w:rPr>
        <w:t>2  财政部：一季度全国一般公共预算收入同比增长8.6%，印花税增20.6%,截至2022年3月末，已发行专项债1.25万亿元，占提前下达额度的86%，比去年增加了1.23万亿元</w:t>
      </w:r>
    </w:p>
    <w:p>
      <w:pPr>
        <w:jc w:val="left"/>
        <w:rPr>
          <w:rFonts w:hint="eastAsia"/>
          <w:color w:val="auto"/>
        </w:rPr>
      </w:pPr>
      <w:r>
        <w:rPr>
          <w:rFonts w:hint="eastAsia"/>
          <w:color w:val="auto"/>
        </w:rPr>
        <w:t>3  人民银行、银保监会联合召开金融支持实体经济座谈会，抓好近期各项金融政策的落地工作，加大疫情防控和经济社会发展金融支持，保障物流畅通和促进产业链供应链循环。</w:t>
      </w:r>
    </w:p>
    <w:p>
      <w:pPr>
        <w:jc w:val="left"/>
        <w:rPr>
          <w:rFonts w:hint="eastAsia"/>
          <w:color w:val="auto"/>
        </w:rPr>
      </w:pPr>
      <w:r>
        <w:rPr>
          <w:rFonts w:hint="eastAsia"/>
          <w:color w:val="auto"/>
        </w:rPr>
        <w:t>4  中国人民银行授权全国银行间同业拆借中心公布，4月贷款市场报价利率（LPR）为：1年期LPR为3.7%，5年期以上LPR为4.6%。此前市场预计4月份LPR有可能会“降息”，然而4月LPR报价维持不变</w:t>
      </w:r>
    </w:p>
    <w:p>
      <w:pPr>
        <w:jc w:val="left"/>
        <w:rPr>
          <w:rFonts w:hint="eastAsia"/>
          <w:color w:val="auto"/>
        </w:rPr>
      </w:pPr>
      <w:r>
        <w:rPr>
          <w:rFonts w:hint="eastAsia"/>
          <w:color w:val="auto"/>
        </w:rPr>
        <w:t>5  十三届全国人大常委会第三十四次会议表决通过《中华人民共和国期货和衍生品法》自2022年8月1日起施行。</w:t>
      </w:r>
    </w:p>
    <w:p>
      <w:pPr>
        <w:jc w:val="left"/>
        <w:rPr>
          <w:rFonts w:hint="eastAsia"/>
          <w:color w:val="auto"/>
        </w:rPr>
      </w:pPr>
    </w:p>
    <w:p>
      <w:pPr>
        <w:jc w:val="left"/>
        <w:rPr>
          <w:rFonts w:hint="eastAsia"/>
          <w:color w:val="auto"/>
        </w:rPr>
      </w:pPr>
      <w:r>
        <w:rPr>
          <w:rFonts w:hint="eastAsia"/>
          <w:color w:val="auto"/>
        </w:rPr>
        <w:t>【当日重要经济数据】</w:t>
      </w:r>
    </w:p>
    <w:p>
      <w:pPr>
        <w:jc w:val="left"/>
        <w:rPr>
          <w:rFonts w:hint="eastAsia"/>
          <w:color w:val="auto"/>
        </w:rPr>
      </w:pPr>
      <w:r>
        <w:rPr>
          <w:rFonts w:hint="eastAsia"/>
          <w:color w:val="auto"/>
        </w:rPr>
        <w:t>02:00</w:t>
      </w:r>
      <w:r>
        <w:rPr>
          <w:rFonts w:hint="eastAsia"/>
          <w:color w:val="auto"/>
        </w:rPr>
        <w:tab/>
      </w:r>
      <w:r>
        <w:rPr>
          <w:rFonts w:hint="eastAsia"/>
          <w:color w:val="auto"/>
        </w:rPr>
        <w:t>美联储公布经济状况褐皮书。</w:t>
      </w:r>
    </w:p>
    <w:p>
      <w:pPr>
        <w:jc w:val="left"/>
        <w:rPr>
          <w:rFonts w:hint="eastAsia"/>
          <w:color w:val="auto"/>
        </w:rPr>
      </w:pPr>
      <w:r>
        <w:rPr>
          <w:rFonts w:hint="eastAsia"/>
          <w:color w:val="auto"/>
        </w:rPr>
        <w:t>17:00</w:t>
      </w:r>
      <w:r>
        <w:rPr>
          <w:rFonts w:hint="eastAsia"/>
          <w:color w:val="auto"/>
        </w:rPr>
        <w:tab/>
      </w:r>
      <w:r>
        <w:rPr>
          <w:rFonts w:hint="eastAsia"/>
          <w:color w:val="auto"/>
        </w:rPr>
        <w:t>欧元区3月核心调和CPI年率-未季调终值(%)</w:t>
      </w:r>
      <w:r>
        <w:rPr>
          <w:rFonts w:hint="eastAsia"/>
          <w:color w:val="auto"/>
        </w:rPr>
        <w:tab/>
      </w:r>
      <w:r>
        <w:rPr>
          <w:rFonts w:hint="eastAsia"/>
          <w:color w:val="auto"/>
        </w:rPr>
        <w:t>3.2</w:t>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20:30</w:t>
      </w:r>
      <w:r>
        <w:rPr>
          <w:rFonts w:hint="eastAsia"/>
          <w:color w:val="auto"/>
        </w:rPr>
        <w:tab/>
      </w:r>
      <w:r>
        <w:rPr>
          <w:rFonts w:hint="eastAsia"/>
          <w:color w:val="auto"/>
        </w:rPr>
        <w:t>美国截至4月16日当周初请失业金人数(万)</w:t>
      </w:r>
      <w:r>
        <w:rPr>
          <w:rFonts w:hint="eastAsia"/>
          <w:color w:val="auto"/>
        </w:rPr>
        <w:tab/>
      </w:r>
      <w:r>
        <w:rPr>
          <w:rFonts w:hint="eastAsia"/>
          <w:color w:val="auto"/>
        </w:rPr>
        <w:t>18.5</w:t>
      </w:r>
      <w:r>
        <w:rPr>
          <w:rFonts w:hint="eastAsia"/>
          <w:color w:val="auto"/>
        </w:rPr>
        <w:tab/>
      </w:r>
      <w:r>
        <w:rPr>
          <w:rFonts w:hint="eastAsia"/>
          <w:color w:val="auto"/>
        </w:rPr>
        <w:t>17.5</w:t>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美国截至4月16日当周初请失业金人数四周均值(万)</w:t>
      </w:r>
      <w:r>
        <w:rPr>
          <w:rFonts w:hint="eastAsia"/>
          <w:color w:val="auto"/>
        </w:rPr>
        <w:tab/>
      </w:r>
      <w:r>
        <w:rPr>
          <w:rFonts w:hint="eastAsia"/>
          <w:color w:val="auto"/>
        </w:rPr>
        <w:t>17.23</w:t>
      </w:r>
      <w:r>
        <w:rPr>
          <w:rFonts w:hint="eastAsia"/>
          <w:color w:val="auto"/>
        </w:rPr>
        <w:tab/>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美国截至4月9日当周续请失业金人数(万)</w:t>
      </w:r>
      <w:r>
        <w:rPr>
          <w:rFonts w:hint="eastAsia"/>
          <w:color w:val="auto"/>
        </w:rPr>
        <w:tab/>
      </w:r>
      <w:r>
        <w:rPr>
          <w:rFonts w:hint="eastAsia"/>
          <w:color w:val="auto"/>
        </w:rPr>
        <w:t>147.5</w:t>
      </w:r>
      <w:r>
        <w:rPr>
          <w:rFonts w:hint="eastAsia"/>
          <w:color w:val="auto"/>
        </w:rPr>
        <w:tab/>
      </w:r>
      <w:r>
        <w:rPr>
          <w:rFonts w:hint="eastAsia"/>
          <w:color w:val="auto"/>
        </w:rPr>
        <w:t>145</w:t>
      </w:r>
      <w:r>
        <w:rPr>
          <w:rFonts w:hint="eastAsia"/>
          <w:color w:val="auto"/>
        </w:rPr>
        <w:tab/>
      </w:r>
      <w:r>
        <w:rPr>
          <w:rFonts w:hint="eastAsia"/>
          <w:color w:val="auto"/>
        </w:rPr>
        <w:tab/>
      </w:r>
    </w:p>
    <w:p>
      <w:pPr>
        <w:jc w:val="left"/>
        <w:rPr>
          <w:rFonts w:hint="eastAsia"/>
          <w:color w:val="auto"/>
        </w:rPr>
      </w:pPr>
      <w:r>
        <w:rPr>
          <w:rFonts w:hint="eastAsia"/>
          <w:color w:val="auto"/>
        </w:rPr>
        <w:t>美国4月费城联储制造业指数</w:t>
      </w:r>
      <w:r>
        <w:rPr>
          <w:rFonts w:hint="eastAsia"/>
          <w:color w:val="auto"/>
        </w:rPr>
        <w:tab/>
      </w:r>
      <w:r>
        <w:rPr>
          <w:rFonts w:hint="eastAsia"/>
          <w:color w:val="auto"/>
        </w:rPr>
        <w:t>27.4</w:t>
      </w:r>
      <w:r>
        <w:rPr>
          <w:rFonts w:hint="eastAsia"/>
          <w:color w:val="auto"/>
        </w:rPr>
        <w:tab/>
      </w:r>
      <w:r>
        <w:rPr>
          <w:rFonts w:hint="eastAsia"/>
          <w:color w:val="auto"/>
        </w:rPr>
        <w:t>20</w:t>
      </w:r>
    </w:p>
    <w:p>
      <w:pPr>
        <w:jc w:val="left"/>
        <w:rPr>
          <w:rFonts w:hint="eastAsia"/>
          <w:color w:val="auto"/>
        </w:rPr>
      </w:pPr>
      <w:r>
        <w:rPr>
          <w:rFonts w:hint="eastAsia"/>
          <w:color w:val="auto"/>
        </w:rPr>
        <w:t>22:00</w:t>
      </w:r>
      <w:r>
        <w:rPr>
          <w:rFonts w:hint="eastAsia"/>
          <w:color w:val="auto"/>
        </w:rPr>
        <w:tab/>
      </w:r>
      <w:r>
        <w:rPr>
          <w:rFonts w:hint="eastAsia"/>
          <w:color w:val="auto"/>
        </w:rPr>
        <w:t>欧元区4月消费者信心指数初值</w:t>
      </w:r>
      <w:r>
        <w:rPr>
          <w:rFonts w:hint="eastAsia"/>
          <w:color w:val="auto"/>
        </w:rPr>
        <w:tab/>
      </w:r>
      <w:r>
        <w:rPr>
          <w:rFonts w:hint="eastAsia"/>
          <w:color w:val="auto"/>
        </w:rPr>
        <w:t>-18.7</w:t>
      </w:r>
      <w:r>
        <w:rPr>
          <w:rFonts w:hint="eastAsia"/>
          <w:color w:val="auto"/>
        </w:rPr>
        <w:tab/>
      </w:r>
      <w:r>
        <w:rPr>
          <w:rFonts w:hint="eastAsia"/>
          <w:color w:val="auto"/>
        </w:rPr>
        <w:t>-20</w:t>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22:00</w:t>
      </w:r>
      <w:r>
        <w:rPr>
          <w:rFonts w:hint="eastAsia"/>
          <w:color w:val="auto"/>
        </w:rPr>
        <w:tab/>
      </w:r>
      <w:r>
        <w:rPr>
          <w:rFonts w:hint="eastAsia"/>
          <w:color w:val="auto"/>
        </w:rPr>
        <w:t>美国3月谘商会领先指标月率(%)</w:t>
      </w:r>
      <w:r>
        <w:rPr>
          <w:rFonts w:hint="eastAsia"/>
          <w:color w:val="auto"/>
        </w:rPr>
        <w:tab/>
      </w:r>
      <w:r>
        <w:rPr>
          <w:rFonts w:hint="eastAsia"/>
          <w:color w:val="auto"/>
        </w:rPr>
        <w:t>0.3</w:t>
      </w:r>
      <w:r>
        <w:rPr>
          <w:rFonts w:hint="eastAsia"/>
          <w:color w:val="auto"/>
        </w:rPr>
        <w:tab/>
      </w:r>
      <w:r>
        <w:rPr>
          <w:rFonts w:hint="eastAsia"/>
          <w:color w:val="auto"/>
        </w:rPr>
        <w:t>0.3</w:t>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美国3月谘商会领先指标</w:t>
      </w:r>
      <w:r>
        <w:rPr>
          <w:rFonts w:hint="eastAsia"/>
          <w:color w:val="auto"/>
        </w:rPr>
        <w:tab/>
      </w:r>
      <w:r>
        <w:rPr>
          <w:rFonts w:hint="eastAsia"/>
          <w:color w:val="auto"/>
        </w:rPr>
        <w:t>119.9</w:t>
      </w:r>
      <w:r>
        <w:rPr>
          <w:rFonts w:hint="eastAsia"/>
          <w:color w:val="auto"/>
        </w:rPr>
        <w:tab/>
      </w:r>
    </w:p>
    <w:p>
      <w:pPr>
        <w:jc w:val="left"/>
        <w:rPr>
          <w:rFonts w:hint="eastAsia"/>
          <w:color w:val="auto"/>
        </w:rPr>
      </w:pPr>
    </w:p>
    <w:p>
      <w:pPr>
        <w:jc w:val="left"/>
        <w:rPr>
          <w:rFonts w:hint="eastAsia"/>
          <w:color w:val="auto"/>
        </w:rPr>
      </w:pPr>
      <w:r>
        <w:rPr>
          <w:rFonts w:hint="eastAsia"/>
          <w:color w:val="auto"/>
        </w:rPr>
        <w:t>【证券指数思路】</w:t>
      </w:r>
    </w:p>
    <w:p>
      <w:pPr>
        <w:jc w:val="left"/>
        <w:rPr>
          <w:rFonts w:hint="eastAsia"/>
          <w:color w:val="auto"/>
        </w:rPr>
      </w:pPr>
      <w:r>
        <w:rPr>
          <w:rFonts w:hint="eastAsia"/>
          <w:color w:val="auto"/>
        </w:rPr>
        <w:t xml:space="preserve">    A股三大指数全线低开后市场震荡下挫，深成指跌超1%，创业板指跌逾2%并击穿2400点续创调整新低，截至收盘，沪指跌1.35%，报3151.05点，深成指跌2.07%，报11392.23点，创业板指跌3.66%，报2363.65点。沪深两市合计成交额8206.8亿元；北向资金实际净卖出55.83亿元。</w:t>
      </w:r>
    </w:p>
    <w:p>
      <w:pPr>
        <w:jc w:val="left"/>
        <w:rPr>
          <w:rFonts w:hint="eastAsia"/>
          <w:color w:val="auto"/>
        </w:rPr>
      </w:pPr>
      <w:r>
        <w:rPr>
          <w:rFonts w:hint="eastAsia"/>
          <w:color w:val="auto"/>
        </w:rPr>
        <w:t xml:space="preserve">    市场大概率延续震荡修复走势，市场以结构性行情为主，趋势未转折之前，依然要严控仓位，降低操作频率，耐心等待，轻仓短线。</w:t>
      </w:r>
    </w:p>
    <w:p>
      <w:pPr>
        <w:jc w:val="left"/>
        <w:rPr>
          <w:rFonts w:hint="eastAsia"/>
          <w:color w:val="auto"/>
          <w:lang w:val="en-US" w:eastAsia="zh-CN"/>
        </w:rPr>
      </w:pPr>
    </w:p>
    <w:p>
      <w:pPr>
        <w:jc w:val="left"/>
        <w:rPr>
          <w:rFonts w:hint="eastAsia"/>
          <w:color w:val="auto"/>
          <w:lang w:val="en-US" w:eastAsia="zh-CN"/>
        </w:rPr>
      </w:pPr>
    </w:p>
    <w:p>
      <w:pPr>
        <w:jc w:val="left"/>
        <w:rPr>
          <w:rFonts w:hint="eastAsia"/>
          <w:color w:val="auto"/>
          <w:lang w:val="en-US" w:eastAsia="zh-CN"/>
        </w:rPr>
      </w:pPr>
    </w:p>
    <w:p>
      <w:pPr>
        <w:jc w:val="left"/>
        <w:rPr>
          <w:rFonts w:hint="eastAsia"/>
          <w:color w:val="auto"/>
          <w:lang w:val="en-US" w:eastAsia="zh-CN"/>
        </w:rPr>
      </w:pPr>
    </w:p>
    <w:p>
      <w:pPr>
        <w:jc w:val="left"/>
        <w:rPr>
          <w:rFonts w:hint="eastAsia"/>
          <w:color w:val="auto"/>
          <w:lang w:val="en-US"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【分品种动态】</w:t>
      </w:r>
    </w:p>
    <w:p>
      <w:pPr>
        <w:jc w:val="both"/>
        <w:rPr>
          <w:rFonts w:ascii="黑体" w:eastAsia="黑体" w:cs="宋体"/>
          <w:color w:val="auto"/>
          <w:szCs w:val="21"/>
        </w:rPr>
      </w:pPr>
    </w:p>
    <w:p>
      <w:pPr>
        <w:rPr>
          <w:rFonts w:ascii="黑体" w:eastAsia="黑体" w:cs="宋体"/>
          <w:color w:val="auto"/>
          <w:szCs w:val="21"/>
        </w:rPr>
      </w:pPr>
    </w:p>
    <w:p>
      <w:pPr>
        <w:widowControl/>
        <w:jc w:val="left"/>
        <w:rPr>
          <w:color w:val="auto"/>
          <w:szCs w:val="21"/>
        </w:rPr>
      </w:pPr>
      <w:r>
        <w:rPr>
          <w:rFonts w:hint="eastAsia" w:ascii="黑体" w:eastAsia="黑体" w:cs="黑体"/>
          <w:color w:val="auto"/>
          <w:szCs w:val="21"/>
        </w:rPr>
        <w:t>◆农产品</w:t>
      </w:r>
    </w:p>
    <w:tbl>
      <w:tblPr>
        <w:tblStyle w:val="4"/>
        <w:tblW w:w="9004" w:type="dxa"/>
        <w:tblInd w:w="-15" w:type="dxa"/>
        <w:tblLayout w:type="fixed"/>
        <w:tblCellMar>
          <w:top w:w="0" w:type="dxa"/>
          <w:left w:w="108" w:type="dxa"/>
          <w:bottom w:w="0" w:type="dxa"/>
          <w:right w:w="108" w:type="dxa"/>
        </w:tblCellMar>
      </w:tblPr>
      <w:tblGrid>
        <w:gridCol w:w="549"/>
        <w:gridCol w:w="6405"/>
        <w:gridCol w:w="2050"/>
      </w:tblGrid>
      <w:tr>
        <w:tblPrEx>
          <w:tblCellMar>
            <w:top w:w="0" w:type="dxa"/>
            <w:left w:w="108" w:type="dxa"/>
            <w:bottom w:w="0" w:type="dxa"/>
            <w:right w:w="108" w:type="dxa"/>
          </w:tblCellMar>
        </w:tblPrEx>
        <w:trPr>
          <w:trHeight w:val="507"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olor w:val="auto"/>
                <w:szCs w:val="21"/>
              </w:rPr>
            </w:pPr>
          </w:p>
        </w:tc>
        <w:tc>
          <w:tcPr>
            <w:tcW w:w="6405" w:type="dxa"/>
            <w:tcBorders>
              <w:top w:val="single" w:color="000000" w:sz="4" w:space="0"/>
              <w:left w:val="single" w:color="000000" w:sz="4" w:space="0"/>
              <w:bottom w:val="single" w:color="000000" w:sz="4" w:space="0"/>
              <w:right w:val="nil"/>
            </w:tcBorders>
            <w:vAlign w:val="center"/>
          </w:tcPr>
          <w:p>
            <w:pPr>
              <w:widowControl/>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s="宋体"/>
                <w:b/>
                <w:color w:val="auto"/>
                <w:kern w:val="0"/>
                <w:szCs w:val="21"/>
                <w:lang w:eastAsia="zh-CN"/>
              </w:rPr>
            </w:pPr>
            <w:r>
              <w:rPr>
                <w:rFonts w:hint="eastAsia" w:ascii="宋体" w:hAnsi="宋体" w:cs="宋体"/>
                <w:b/>
                <w:color w:val="auto"/>
                <w:kern w:val="0"/>
                <w:szCs w:val="21"/>
                <w:lang w:eastAsia="zh-CN"/>
              </w:rPr>
              <w:t>豆粕</w:t>
            </w:r>
          </w:p>
        </w:tc>
        <w:tc>
          <w:tcPr>
            <w:tcW w:w="6405" w:type="dxa"/>
            <w:tcBorders>
              <w:top w:val="single" w:color="000000" w:sz="4" w:space="0"/>
              <w:left w:val="single" w:color="000000" w:sz="4" w:space="0"/>
              <w:bottom w:val="single" w:color="000000" w:sz="4" w:space="0"/>
              <w:right w:val="nil"/>
            </w:tcBorders>
          </w:tcPr>
          <w:p>
            <w:pPr>
              <w:ind w:firstLine="840" w:firstLineChars="400"/>
              <w:rPr>
                <w:rFonts w:hint="eastAsia" w:eastAsia="宋体"/>
                <w:color w:val="auto"/>
                <w:lang w:val="en-US" w:eastAsia="zh-CN"/>
              </w:rPr>
            </w:pPr>
            <w:r>
              <w:rPr>
                <w:rFonts w:hint="eastAsia"/>
                <w:color w:val="auto"/>
              </w:rPr>
              <w:t>隔夜外围美元收低于100.34部位；人民币离岸价收贬于6.442。欧美股市涨跌互现。美蓝筹股收高但科技股受业绩拖累收跌。NYMEX6月原油上涨0.14美元，结算价报每桶102.19美元。对经济增长和石油需求停滞的更广泛担忧与供应收紧的影响大体两相抵消。芝加哥(CBOT)大豆收高，分析师表示，受对美国出口需求的乐观情绪提振，豆油期货触及合约高位。CBOT 5月大豆收高30-1/4美分，结算价报每蒲式耳17.46-3/4美元。7月大豆结算价上涨25-1/4美分，报每蒲式耳17.17美元，触及2月24日创下17.41美元合约高位以来的最高水平。7月豆粕收高6.7美元，结算价报每短吨466.3美元，触及3月31日以来最高。7月豆油收涨0.55美分，结算价报每磅78.75美分，盘中一度触及79.26美分的合约高位。StoneX首席经济学家表示，对于5月装运的大豆来说，美国大豆出口价可以和巴西供应一较高下，而6月、7月和8月装运的价格更加便宜。针对行业分析师的一项调查显示，分析师平均预期，截至4月14日当周，美国大豆出口销售量料为50-195万吨。其中，2021/22年度大豆出口销售量预计料为30-100万吨，美国2022/23年度大豆出口销售料介于20-95万吨。美国农业部定于北京时间周四20:30公布周度出口销售报告。巴西植物油行业协会表示，巴西2022年大豆产量料为1.253亿吨，较此前预估持平。巴西2022年大豆期末库存料为242万吨，高于3月预估的190万吨。该协会同时巴西2022年大豆出口预估较上月下修50万吨至7,720万吨，下调原因是预期中国需求放缓。如预测准确，2022年巴西大豆出口量将较2021年的纪录高位下降近900万吨。海关总署公布的数据显示，中国3月自美国进口大豆同比大幅减少。中国是全球最大的大豆进口国。农业农村部一官员周三称，中国2022年大豆产量料将增加25.8%。</w:t>
            </w:r>
          </w:p>
        </w:tc>
        <w:tc>
          <w:tcPr>
            <w:tcW w:w="2050" w:type="dxa"/>
            <w:tcBorders>
              <w:top w:val="single" w:color="000000" w:sz="4" w:space="0"/>
              <w:left w:val="single" w:color="000000" w:sz="4" w:space="0"/>
              <w:bottom w:val="single" w:color="000000" w:sz="4" w:space="0"/>
              <w:right w:val="single" w:color="000000" w:sz="4" w:space="0"/>
            </w:tcBorders>
          </w:tcPr>
          <w:p>
            <w:pPr>
              <w:widowControl/>
              <w:suppressAutoHyphens w:val="0"/>
              <w:jc w:val="left"/>
              <w:rPr>
                <w:rFonts w:hint="eastAsia"/>
                <w:b/>
                <w:color w:val="auto"/>
                <w:lang w:eastAsia="zh-CN"/>
              </w:rPr>
            </w:pPr>
            <w:r>
              <w:rPr>
                <w:rFonts w:hint="eastAsia"/>
                <w:b/>
                <w:color w:val="auto"/>
                <w:lang w:eastAsia="zh-CN"/>
              </w:rPr>
              <w:t>框架如前，美豆区间内高位波动，油粕比支撑豆价。预计大连盘被动跟随。9月油粕比在2.70；粕5－9逆差做扩至127点。粕9日内看4050－4100的波动，宜灵活。</w:t>
            </w:r>
          </w:p>
          <w:p>
            <w:pPr>
              <w:widowControl/>
              <w:suppressAutoHyphens w:val="0"/>
              <w:jc w:val="left"/>
              <w:rPr>
                <w:rFonts w:hint="eastAsia"/>
                <w:b/>
                <w:color w:val="auto"/>
                <w:lang w:eastAsia="zh-CN"/>
              </w:rPr>
            </w:pPr>
          </w:p>
          <w:p>
            <w:pPr>
              <w:widowControl/>
              <w:suppressAutoHyphens w:val="0"/>
              <w:jc w:val="left"/>
              <w:rPr>
                <w:b/>
                <w:color w:val="auto"/>
                <w:lang w:eastAsia="zh-CN"/>
              </w:rPr>
            </w:pPr>
            <w:r>
              <w:rPr>
                <w:rFonts w:hint="eastAsia"/>
                <w:b/>
                <w:color w:val="auto"/>
                <w:lang w:eastAsia="zh-CN"/>
              </w:rPr>
              <w:t>（</w:t>
            </w:r>
            <w:r>
              <w:rPr>
                <w:rFonts w:hint="eastAsia"/>
                <w:b/>
                <w:color w:val="auto"/>
                <w:lang w:eastAsia="zh-CN"/>
              </w:rPr>
              <w:t>农产品部）</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vAlign w:val="top"/>
          </w:tcPr>
          <w:p>
            <w:pPr>
              <w:widowControl/>
              <w:snapToGrid w:val="0"/>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棉花</w:t>
            </w:r>
          </w:p>
        </w:tc>
        <w:tc>
          <w:tcPr>
            <w:tcW w:w="6405" w:type="dxa"/>
            <w:tcBorders>
              <w:top w:val="single" w:color="000000" w:sz="4" w:space="0"/>
              <w:left w:val="single" w:color="000000" w:sz="4" w:space="0"/>
              <w:bottom w:val="single" w:color="000000" w:sz="4" w:space="0"/>
              <w:right w:val="nil"/>
            </w:tcBorders>
            <w:vAlign w:val="top"/>
          </w:tcPr>
          <w:p>
            <w:pPr>
              <w:ind w:firstLine="840" w:firstLineChars="400"/>
              <w:rPr>
                <w:rFonts w:hint="eastAsia" w:ascii="Times New Roman" w:hAnsi="Times New Roman" w:eastAsia="宋体" w:cs="Times New Roman"/>
                <w:color w:val="auto"/>
                <w:kern w:val="2"/>
                <w:sz w:val="21"/>
                <w:lang w:val="en-US" w:eastAsia="zh-CN" w:bidi="ar-SA"/>
              </w:rPr>
            </w:pPr>
            <w:r>
              <w:rPr>
                <w:rFonts w:hint="eastAsia"/>
                <w:color w:val="auto"/>
              </w:rPr>
              <w:t>美棉震荡，等待今晚的出口数据。郑棉弱势延续，9月最新价格21445元。印度S-6 1-1/8到港价161美分/磅（+0）；巴西M到港价156.9美分/磅（-5）；国内棉花现货指数CCI3128B报价至22562元/吨（+0），期现价差-1227（09合约收盘价-现货价），涤纶短纤报价7850元/吨(+50)，黏胶短纤报价14100元/吨（+0）；CY Index C32S报价28700元/吨（+0），FCY Index C32S(进口棉纱价格指数)报价32109元/吨（+52）。</w:t>
            </w:r>
          </w:p>
        </w:tc>
        <w:tc>
          <w:tcPr>
            <w:tcW w:w="2050" w:type="dxa"/>
            <w:tcBorders>
              <w:top w:val="single" w:color="000000" w:sz="4" w:space="0"/>
              <w:left w:val="single" w:color="000000" w:sz="4" w:space="0"/>
              <w:bottom w:val="single" w:color="000000" w:sz="4" w:space="0"/>
              <w:right w:val="single" w:color="000000" w:sz="4" w:space="0"/>
            </w:tcBorders>
            <w:vAlign w:val="top"/>
          </w:tcPr>
          <w:p>
            <w:pPr>
              <w:widowControl/>
              <w:suppressAutoHyphens w:val="0"/>
              <w:jc w:val="left"/>
              <w:rPr>
                <w:rFonts w:hint="eastAsia"/>
                <w:b/>
                <w:color w:val="auto"/>
                <w:lang w:eastAsia="zh-CN"/>
              </w:rPr>
            </w:pPr>
            <w:r>
              <w:rPr>
                <w:rFonts w:hint="eastAsia"/>
                <w:b/>
                <w:color w:val="auto"/>
                <w:lang w:eastAsia="zh-CN"/>
              </w:rPr>
              <w:t>综上，外强内弱延续，内外价差倒挂，但国内防疫影响产需求低迷，短线不追涨杀跌，中长线空单续持，逢反弹加仓，防守参考22000元。</w:t>
            </w:r>
          </w:p>
          <w:p>
            <w:pPr>
              <w:widowControl/>
              <w:suppressAutoHyphens w:val="0"/>
              <w:jc w:val="left"/>
              <w:rPr>
                <w:rFonts w:hint="eastAsia"/>
                <w:b/>
                <w:color w:val="auto"/>
                <w:lang w:eastAsia="zh-CN"/>
              </w:rPr>
            </w:pPr>
          </w:p>
          <w:p>
            <w:pPr>
              <w:widowControl/>
              <w:suppressAutoHyphens w:val="0"/>
              <w:jc w:val="left"/>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苗玲</w:t>
            </w:r>
            <w:r>
              <w:rPr>
                <w:rFonts w:hint="eastAsia"/>
                <w:b/>
                <w:color w:val="auto"/>
                <w:lang w:eastAsia="zh-CN"/>
              </w:rPr>
              <w:t>）</w:t>
            </w:r>
          </w:p>
        </w:tc>
      </w:tr>
    </w:tbl>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bookmarkStart w:id="0" w:name="_GoBack"/>
      <w:bookmarkEnd w:id="0"/>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sectPr>
          <w:headerReference r:id="rId3" w:type="default"/>
          <w:footerReference r:id="rId4" w:type="default"/>
          <w:pgSz w:w="11906" w:h="16838"/>
          <w:pgMar w:top="907" w:right="1797" w:bottom="1134" w:left="1797" w:header="510" w:footer="992" w:gutter="0"/>
          <w:cols w:space="720" w:num="1"/>
          <w:docGrid w:type="lines" w:linePitch="312" w:charSpace="0"/>
        </w:sectPr>
      </w:pPr>
      <w:r>
        <w:rPr>
          <w:rFonts w:hint="eastAsia" w:ascii="黑体" w:eastAsia="黑体" w:cs="宋体"/>
          <w:color w:val="auto"/>
          <w:szCs w:val="21"/>
        </w:rPr>
        <w:t>◆工业品</w:t>
      </w:r>
    </w:p>
    <w:p>
      <w:pPr>
        <w:rPr>
          <w:color w:val="auto"/>
          <w:szCs w:val="21"/>
        </w:rPr>
        <w:sectPr>
          <w:type w:val="continuous"/>
          <w:pgSz w:w="11906" w:h="16838"/>
          <w:pgMar w:top="1440" w:right="1797" w:bottom="1134" w:left="1797" w:header="851" w:footer="992" w:gutter="0"/>
          <w:cols w:space="720" w:num="1"/>
          <w:docGrid w:type="lines" w:linePitch="312" w:charSpace="0"/>
        </w:sectPr>
      </w:pPr>
    </w:p>
    <w:tbl>
      <w:tblPr>
        <w:tblStyle w:val="4"/>
        <w:tblW w:w="8994" w:type="dxa"/>
        <w:tblInd w:w="0" w:type="dxa"/>
        <w:tblLayout w:type="fixed"/>
        <w:tblCellMar>
          <w:top w:w="0" w:type="dxa"/>
          <w:left w:w="108" w:type="dxa"/>
          <w:bottom w:w="0" w:type="dxa"/>
          <w:right w:w="108" w:type="dxa"/>
        </w:tblCellMar>
      </w:tblPr>
      <w:tblGrid>
        <w:gridCol w:w="534"/>
        <w:gridCol w:w="6410"/>
        <w:gridCol w:w="2050"/>
      </w:tblGrid>
      <w:tr>
        <w:trPr>
          <w:cantSplit/>
          <w:trHeight w:val="480" w:hRule="atLeast"/>
        </w:trPr>
        <w:tc>
          <w:tcPr>
            <w:tcW w:w="534" w:type="dxa"/>
            <w:tcBorders>
              <w:top w:val="single" w:color="000000" w:sz="4" w:space="0"/>
              <w:left w:val="single" w:color="000000" w:sz="4" w:space="0"/>
              <w:bottom w:val="single" w:color="000000" w:sz="4" w:space="0"/>
              <w:right w:val="nil"/>
            </w:tcBorders>
          </w:tcPr>
          <w:p>
            <w:pPr>
              <w:widowControl/>
              <w:snapToGrid w:val="0"/>
              <w:jc w:val="left"/>
              <w:rPr>
                <w:rFonts w:ascii="宋体" w:hAnsi="宋体" w:cs="黑体"/>
                <w:color w:val="auto"/>
                <w:szCs w:val="21"/>
              </w:rPr>
            </w:pPr>
          </w:p>
        </w:tc>
        <w:tc>
          <w:tcPr>
            <w:tcW w:w="6410" w:type="dxa"/>
            <w:tcBorders>
              <w:top w:val="single" w:color="000000" w:sz="4" w:space="0"/>
              <w:left w:val="single" w:color="000000" w:sz="4" w:space="0"/>
              <w:bottom w:val="single" w:color="000000" w:sz="4" w:space="0"/>
              <w:right w:val="nil"/>
            </w:tcBorders>
            <w:vAlign w:val="center"/>
          </w:tcPr>
          <w:p>
            <w:pPr>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cantSplit/>
          <w:trHeight w:val="480" w:hRule="atLeast"/>
        </w:trPr>
        <w:tc>
          <w:tcPr>
            <w:tcW w:w="534" w:type="dxa"/>
            <w:tcBorders>
              <w:top w:val="single" w:color="000000" w:sz="4" w:space="0"/>
              <w:left w:val="single" w:color="000000" w:sz="4" w:space="0"/>
              <w:bottom w:val="single" w:color="000000" w:sz="4" w:space="0"/>
              <w:right w:val="nil"/>
            </w:tcBorders>
            <w:vAlign w:val="top"/>
          </w:tcPr>
          <w:p>
            <w:pPr>
              <w:widowControl/>
              <w:snapToGrid w:val="0"/>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PTA</w:t>
            </w:r>
          </w:p>
        </w:tc>
        <w:tc>
          <w:tcPr>
            <w:tcW w:w="6410" w:type="dxa"/>
            <w:tcBorders>
              <w:top w:val="single" w:color="000000" w:sz="4" w:space="0"/>
              <w:left w:val="single" w:color="000000" w:sz="4" w:space="0"/>
              <w:bottom w:val="single" w:color="000000" w:sz="4" w:space="0"/>
              <w:right w:val="nil"/>
            </w:tcBorders>
            <w:vAlign w:val="top"/>
          </w:tcPr>
          <w:p>
            <w:pPr>
              <w:ind w:firstLine="840" w:firstLineChars="400"/>
              <w:rPr>
                <w:rFonts w:hint="eastAsia" w:ascii="Times New Roman" w:hAnsi="Times New Roman" w:eastAsia="宋体" w:cs="Times New Roman"/>
                <w:color w:val="auto"/>
                <w:kern w:val="2"/>
                <w:sz w:val="21"/>
                <w:lang w:val="en-US" w:eastAsia="zh-CN" w:bidi="ar-SA"/>
              </w:rPr>
            </w:pPr>
            <w:r>
              <w:rPr>
                <w:rFonts w:hint="eastAsia"/>
                <w:color w:val="auto"/>
              </w:rPr>
              <w:t>美国商业原油库存大幅下降，但市场对于疫情之下需求放缓的担忧仍存， 国际油价涨跌互现；PX CFR中国价格收跌至1204.33美元/吨，PTA现货价格6266元，PTA加工区间收涨至407.40元/吨；PTA开工负荷下滑至68.41%， 下游聚酯负荷下滑至79.73%。</w:t>
            </w:r>
          </w:p>
        </w:tc>
        <w:tc>
          <w:tcPr>
            <w:tcW w:w="2050" w:type="dxa"/>
            <w:tcBorders>
              <w:top w:val="single" w:color="000000" w:sz="4" w:space="0"/>
              <w:left w:val="single" w:color="000000" w:sz="4" w:space="0"/>
              <w:bottom w:val="single" w:color="000000" w:sz="4" w:space="0"/>
              <w:right w:val="single" w:color="000000" w:sz="4" w:space="0"/>
            </w:tcBorders>
            <w:vAlign w:val="top"/>
          </w:tcPr>
          <w:p>
            <w:pPr>
              <w:widowControl/>
              <w:suppressAutoHyphens w:val="0"/>
              <w:jc w:val="left"/>
              <w:rPr>
                <w:rFonts w:hint="eastAsia"/>
                <w:b/>
                <w:color w:val="auto"/>
                <w:lang w:eastAsia="zh-CN"/>
              </w:rPr>
            </w:pPr>
            <w:r>
              <w:rPr>
                <w:rFonts w:hint="eastAsia"/>
                <w:b/>
                <w:color w:val="auto"/>
                <w:lang w:eastAsia="zh-CN"/>
              </w:rPr>
              <w:t>综上，PTA开工继续下调，防疫措施有转变，一企一策，海宁复工，下游需求有转好预期，预期PTA震荡为主。</w:t>
            </w:r>
          </w:p>
          <w:p>
            <w:pPr>
              <w:widowControl/>
              <w:suppressAutoHyphens w:val="0"/>
              <w:jc w:val="left"/>
              <w:rPr>
                <w:rFonts w:hint="eastAsia"/>
                <w:b/>
                <w:color w:val="auto"/>
                <w:lang w:eastAsia="zh-CN"/>
              </w:rPr>
            </w:pPr>
          </w:p>
          <w:p>
            <w:pPr>
              <w:widowControl/>
              <w:suppressAutoHyphens w:val="0"/>
              <w:jc w:val="left"/>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苗玲</w:t>
            </w:r>
            <w:r>
              <w:rPr>
                <w:rFonts w:hint="eastAsia"/>
                <w:b/>
                <w:color w:val="auto"/>
                <w:lang w:eastAsia="zh-CN"/>
              </w:rPr>
              <w:t>）</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hint="default" w:ascii="宋体" w:hAnsi="宋体" w:cs="宋体"/>
                <w:b/>
                <w:color w:val="auto"/>
                <w:kern w:val="0"/>
                <w:szCs w:val="21"/>
                <w:lang w:val="en-US" w:eastAsia="zh-CN"/>
              </w:rPr>
            </w:pPr>
            <w:r>
              <w:rPr>
                <w:rFonts w:hint="eastAsia" w:ascii="宋体" w:hAnsi="宋体" w:cs="宋体"/>
                <w:b/>
                <w:color w:val="auto"/>
                <w:kern w:val="0"/>
                <w:szCs w:val="21"/>
                <w:lang w:val="en-US" w:eastAsia="zh-CN"/>
              </w:rPr>
              <w:t>钢材</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钢材周三价格宽幅震荡，螺纹2210合约收于5101，热卷2210合约收于5214。现货方面，20日唐山普方坯出厂价报4830（+20），上海地区螺纹钢现货价格(HRB400 20mm)5110元（+20），热卷现货价格(4.75mm)5180元（+20）。</w:t>
            </w:r>
          </w:p>
          <w:p>
            <w:pPr>
              <w:widowControl/>
              <w:suppressAutoHyphens w:val="0"/>
              <w:ind w:firstLine="630" w:firstLineChars="300"/>
              <w:jc w:val="left"/>
              <w:rPr>
                <w:rFonts w:hint="eastAsia"/>
                <w:color w:val="auto"/>
              </w:rPr>
            </w:pPr>
            <w:r>
              <w:rPr>
                <w:rFonts w:hint="eastAsia"/>
                <w:color w:val="auto"/>
              </w:rPr>
              <w:t>央行、银保监会联合召开金融支持实体经济座谈会，要求重点围绕接触型服务业、小微受困主体、货运物流、投资消费等重点支持领域，强化对重点消费、新市民和有效投资的金融服务。要因城施策落实好差别化住房信贷政策，更好满足购房者合理住房需求。</w:t>
            </w:r>
          </w:p>
          <w:p>
            <w:pPr>
              <w:widowControl/>
              <w:suppressAutoHyphens w:val="0"/>
              <w:ind w:firstLine="630" w:firstLineChars="300"/>
              <w:jc w:val="left"/>
              <w:rPr>
                <w:rFonts w:hint="eastAsia"/>
                <w:color w:val="auto"/>
              </w:rPr>
            </w:pPr>
            <w:r>
              <w:rPr>
                <w:rFonts w:hint="eastAsia"/>
                <w:color w:val="auto"/>
              </w:rPr>
              <w:t>唐山进一步强化封控管理，严格执行全域封控措施，区域封闭、足不出户、服务上门，为加快实现社会面“清零”奠定坚实基础。</w:t>
            </w:r>
          </w:p>
          <w:p>
            <w:pPr>
              <w:widowControl/>
              <w:suppressAutoHyphens w:val="0"/>
              <w:ind w:firstLine="630" w:firstLineChars="300"/>
              <w:jc w:val="left"/>
              <w:rPr>
                <w:rFonts w:hint="eastAsia"/>
                <w:color w:val="auto"/>
              </w:rPr>
            </w:pPr>
            <w:r>
              <w:rPr>
                <w:rFonts w:hint="eastAsia"/>
                <w:color w:val="auto"/>
              </w:rPr>
              <w:t>据mysteel数据，本周唐山地区主流样本钢厂平均铁水不含税成本为3749元/吨，平均钢坯含税成本4814元/吨，周环比上调41元/吨，与4月20日当前普方坯出厂价格4830元/吨相比，钢厂平均毛利润16元/吨，周环比上调9元/吨。</w:t>
            </w:r>
          </w:p>
          <w:p>
            <w:pPr>
              <w:widowControl/>
              <w:suppressAutoHyphens w:val="0"/>
              <w:ind w:firstLine="630" w:firstLineChars="300"/>
              <w:jc w:val="left"/>
              <w:rPr>
                <w:rFonts w:hint="eastAsia" w:eastAsia="宋体"/>
                <w:color w:val="auto"/>
                <w:lang w:val="en-US" w:eastAsia="zh-CN"/>
              </w:rPr>
            </w:pPr>
            <w:r>
              <w:rPr>
                <w:rFonts w:hint="eastAsia"/>
                <w:color w:val="auto"/>
              </w:rPr>
              <w:t>国内疫情整体延续较预期更长，国内宏观层面的宽松政策持续，钢材供应端疫情影响逐渐减弱，当前产量恢复缓慢的原因在于利润偏低的影响，消费端建材受到房地产尚不景气影响弱于往年同期，板材周度受到疫情影响明显，在目前上海要求一企一策的复工政策下，预计后续消费将有回升。总体来看，疫情导致当前供需双弱的情况被市场接受，政策方面的预期和成本支撑钢材价格。</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短期预计仍延续高位震荡的走势，疫情受控后，关注真实需求回归后市场的反馈。</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auto"/>
                <w:lang w:eastAsia="zh-CN"/>
              </w:rPr>
              <w:t>黄天罡)</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铁矿石</w:t>
            </w:r>
          </w:p>
        </w:tc>
        <w:tc>
          <w:tcPr>
            <w:tcW w:w="6410" w:type="dxa"/>
            <w:tcBorders>
              <w:top w:val="single" w:color="000000" w:sz="4" w:space="0"/>
              <w:left w:val="single" w:color="000000" w:sz="4" w:space="0"/>
              <w:bottom w:val="single" w:color="000000" w:sz="4" w:space="0"/>
              <w:right w:val="nil"/>
            </w:tcBorders>
          </w:tcPr>
          <w:p>
            <w:pPr>
              <w:widowControl/>
              <w:suppressAutoHyphens w:val="0"/>
              <w:jc w:val="left"/>
              <w:rPr>
                <w:rFonts w:hint="eastAsia"/>
                <w:color w:val="auto"/>
              </w:rPr>
            </w:pPr>
            <w:r>
              <w:rPr>
                <w:rFonts w:hint="eastAsia"/>
                <w:color w:val="auto"/>
              </w:rPr>
              <w:t xml:space="preserve">         昨日进口铁矿港口现货全天价格上涨0-17。现青岛港PB粉987涨1，超特粉740涨10；曹妃甸港PB粉993涨4，超特粉745涨10；天津港PB粉1011涨13，混合粉868涨17；江内港PB粉1035涨8，超特粉778涨13；鲅鱼圈港PB粉1034平；防城港港PB粉1005涨5。</w:t>
            </w:r>
          </w:p>
          <w:p>
            <w:pPr>
              <w:widowControl/>
              <w:suppressAutoHyphens w:val="0"/>
              <w:jc w:val="left"/>
              <w:rPr>
                <w:rFonts w:hint="eastAsia"/>
                <w:color w:val="auto"/>
              </w:rPr>
            </w:pPr>
            <w:r>
              <w:rPr>
                <w:rFonts w:hint="eastAsia"/>
                <w:color w:val="auto"/>
              </w:rPr>
              <w:t xml:space="preserve">      因疫情反复，唐山多地再次实施临时封控，截至4月20日调研，区域内汽运运输严重受限，且火运运力不足，钢厂原燃料库存下降，导致部分钢企高炉新增检修。铁矿石方面，唐山市23家钢铁企业中，共计新增检修高炉2座，涉及日均铁水产量约0.8万吨/天，影响铁矿石消耗约1.28万吨/天，样本中8家钢厂厂内进口矿库存5天以下，15家钢厂库存5天以上。</w:t>
            </w:r>
          </w:p>
          <w:p>
            <w:pPr>
              <w:widowControl/>
              <w:suppressAutoHyphens w:val="0"/>
              <w:jc w:val="left"/>
              <w:rPr>
                <w:rFonts w:hint="eastAsia" w:eastAsia="宋体"/>
                <w:color w:val="auto"/>
                <w:lang w:val="en-US" w:eastAsia="zh-CN"/>
              </w:rPr>
            </w:pPr>
            <w:r>
              <w:rPr>
                <w:rFonts w:hint="eastAsia"/>
                <w:color w:val="auto"/>
              </w:rPr>
              <w:t xml:space="preserve">       发改委提出2022年全国粗钢产量同比下降，减弱了铁水产量的上方空间，但当前生铁产量尚处在低位，钢厂仍在逐渐复产，后期仍有一定的回升空间，港口库存持续下降，铁矿石供需阶段性改善；而疫情影响下终端需求持续疲弱，钢铁利润低位，对原料价格形成压制作用；短期矿石价格延续高位震荡</w:t>
            </w:r>
            <w:r>
              <w:rPr>
                <w:rFonts w:hint="eastAsia"/>
                <w:color w:val="auto"/>
                <w:lang w:eastAsia="zh-CN"/>
              </w:rPr>
              <w:t>。</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短线操作。</w:t>
            </w:r>
          </w:p>
          <w:p>
            <w:pPr>
              <w:rPr>
                <w:rFonts w:hint="eastAsia"/>
                <w:b/>
                <w:color w:val="auto"/>
                <w:lang w:eastAsia="zh-CN"/>
              </w:rPr>
            </w:pPr>
          </w:p>
          <w:p>
            <w:pPr>
              <w:rPr>
                <w:rFonts w:hint="eastAsia"/>
                <w:b/>
                <w:color w:val="auto"/>
                <w:lang w:eastAsia="zh-CN"/>
              </w:rPr>
            </w:pPr>
            <w:r>
              <w:rPr>
                <w:rFonts w:hint="eastAsia"/>
                <w:b/>
                <w:color w:val="auto"/>
                <w:lang w:eastAsia="zh-CN"/>
              </w:rPr>
              <w:t>(杨</w:t>
            </w:r>
            <w:r>
              <w:rPr>
                <w:rFonts w:hint="eastAsia"/>
                <w:b/>
                <w:color w:val="auto"/>
                <w:lang w:eastAsia="zh-CN"/>
              </w:rPr>
              <w:t>俊林)</w:t>
            </w:r>
          </w:p>
          <w:p>
            <w:pPr>
              <w:rPr>
                <w:rFonts w:hint="eastAsia"/>
                <w:b/>
                <w:color w:val="auto"/>
                <w:lang w:eastAsia="zh-CN"/>
              </w:rPr>
            </w:pPr>
          </w:p>
        </w:tc>
      </w:tr>
      <w:tr>
        <w:tblPrEx>
          <w:tblCellMar>
            <w:top w:w="0" w:type="dxa"/>
            <w:left w:w="108" w:type="dxa"/>
            <w:bottom w:w="0" w:type="dxa"/>
            <w:right w:w="108" w:type="dxa"/>
          </w:tblCellMar>
        </w:tblPrEx>
        <w:trPr>
          <w:cantSplit/>
          <w:trHeight w:val="4922"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煤焦</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现货市场，双焦市场稳中向好，焦炭第六轮提涨落地。山西介休1.3硫主焦2900元/吨（+100），蒙5金泉提货价3000元/吨（+50），澳煤到岸价489美元/吨；吕梁准一出厂价3750元/吨（+200），唐山二级焦到厂价3850元/吨（+200），青岛港准一焦平仓价4000元/吨（+200）。</w:t>
            </w:r>
          </w:p>
          <w:p>
            <w:pPr>
              <w:widowControl/>
              <w:suppressAutoHyphens w:val="0"/>
              <w:ind w:firstLine="630" w:firstLineChars="300"/>
              <w:jc w:val="left"/>
              <w:rPr>
                <w:rFonts w:hint="eastAsia"/>
                <w:color w:val="auto"/>
              </w:rPr>
            </w:pPr>
            <w:r>
              <w:rPr>
                <w:rFonts w:hint="eastAsia"/>
                <w:color w:val="auto"/>
              </w:rPr>
              <w:t>各地产销，山西地区煤矿基本维持正常生产水平，内蒙地区多数露天矿煤矿仍处于停产状态，近期交通部门已要求放开运输，后期汽车发运方面或有缓解。进口方面，俄罗斯煤炭整体发运基本平稳，但到中国发运量明显提高。焦企方面，部分焦企场内焦炭库存开始明显下降。钢厂方面，唐山多地再次实施临时封控，汽运运输受限火运运力不足，钢厂原燃料库存下降，导致部分钢企高炉新增检修，对焦炭的需求很积极。</w:t>
            </w:r>
          </w:p>
          <w:p>
            <w:pPr>
              <w:widowControl/>
              <w:suppressAutoHyphens w:val="0"/>
              <w:ind w:firstLine="630" w:firstLineChars="300"/>
              <w:jc w:val="left"/>
              <w:rPr>
                <w:rFonts w:hint="eastAsia"/>
                <w:color w:val="auto"/>
              </w:rPr>
            </w:pPr>
            <w:r>
              <w:rPr>
                <w:rFonts w:hint="eastAsia"/>
                <w:color w:val="auto"/>
              </w:rPr>
              <w:t>山西省应急厅下发《关于开展焦化企业安全生产大检查的通知》，决定从2022年4月至10月，对所有取得危险化学品安全生产许可证的焦化生产企业开展焦化企业焦炉煤气净化及深加工安全专项排查整治。</w:t>
            </w:r>
          </w:p>
          <w:p>
            <w:pPr>
              <w:widowControl/>
              <w:suppressAutoHyphens w:val="0"/>
              <w:ind w:firstLine="630" w:firstLineChars="300"/>
              <w:jc w:val="left"/>
              <w:rPr>
                <w:rFonts w:hint="eastAsia" w:eastAsia="宋体"/>
                <w:color w:val="auto"/>
                <w:lang w:val="en-US" w:eastAsia="zh-CN"/>
              </w:rPr>
            </w:pPr>
            <w:r>
              <w:rPr>
                <w:rFonts w:hint="eastAsia"/>
                <w:color w:val="auto"/>
              </w:rPr>
              <w:t>近期发改委压减粗钢产量的态度，削弱了双焦市场的需求预期。不过焦煤供应仍在低位，旺季钢厂控产的概率不大，焦煤供求仍易紧张，支撑双焦现货表现。</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J2209月合约回调后，关注盘面低位支撑表现，仍可偏多思路。</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auto"/>
                <w:lang w:eastAsia="zh-CN"/>
              </w:rPr>
              <w:t>李岩）</w:t>
            </w:r>
          </w:p>
        </w:tc>
      </w:tr>
      <w:tr>
        <w:tblPrEx>
          <w:tblCellMar>
            <w:top w:w="0" w:type="dxa"/>
            <w:left w:w="108" w:type="dxa"/>
            <w:bottom w:w="0" w:type="dxa"/>
            <w:right w:w="108" w:type="dxa"/>
          </w:tblCellMar>
        </w:tblPrEx>
        <w:trPr>
          <w:cantSplit/>
          <w:trHeight w:val="934"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铝</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lang w:val="en-US" w:eastAsia="zh-CN"/>
              </w:rPr>
            </w:pPr>
            <w:r>
              <w:rPr>
                <w:rFonts w:hint="eastAsia"/>
                <w:color w:val="auto"/>
                <w:lang w:val="en-US" w:eastAsia="zh-CN"/>
              </w:rPr>
              <w:t>昨日沪铝走势疲软，沪铝主力月2205合约收至21800元/吨，跌265元，跌幅1.20%。现货方面，20日长江现货成交价格21730-21770元/吨，跌270元，贴水70-贴水30；广东南储报21820-21880元/吨，跌300元；华通报21780-21820元/吨，跌280元。现货市场持货商继续调价出货，接货商采购意愿仍显颓靡，交投状况欠佳。</w:t>
            </w:r>
          </w:p>
          <w:p>
            <w:pPr>
              <w:widowControl/>
              <w:suppressAutoHyphens w:val="0"/>
              <w:ind w:firstLine="630" w:firstLineChars="300"/>
              <w:jc w:val="left"/>
              <w:rPr>
                <w:rFonts w:hint="eastAsia"/>
                <w:color w:val="auto"/>
                <w:lang w:val="en-US" w:eastAsia="zh-CN"/>
              </w:rPr>
            </w:pPr>
            <w:r>
              <w:rPr>
                <w:rFonts w:hint="eastAsia"/>
                <w:color w:val="auto"/>
                <w:lang w:val="en-US" w:eastAsia="zh-CN"/>
              </w:rPr>
              <w:t>海关总署数据公布，我国今年3月原铝进口量约为3.94万吨，环比增长115%，同比下降55.1%。今年1-3月原铝累积进口量为96551.5吨，累计同比下降71%。今年3月份国内原铝出口总量4.23万吨，环比增长60%，同比增加5571%；今年3月份国内原铝贸易量上维持净出口格局，净出口总量2826吨，环比减少64.8%。</w:t>
            </w:r>
          </w:p>
          <w:p>
            <w:pPr>
              <w:widowControl/>
              <w:suppressAutoHyphens w:val="0"/>
              <w:ind w:firstLine="630" w:firstLineChars="300"/>
              <w:jc w:val="left"/>
              <w:rPr>
                <w:color w:val="auto"/>
              </w:rPr>
            </w:pPr>
            <w:r>
              <w:rPr>
                <w:rFonts w:hint="eastAsia"/>
                <w:color w:val="auto"/>
                <w:lang w:val="en-US" w:eastAsia="zh-CN"/>
              </w:rPr>
              <w:t>俄乌冲突下俄罗斯面临欧盟以及其他北约国家新一轮制裁，俄铝向外出口受阻，欧洲铝企减产预期仍存，海外供应忧虑持续。国内云南、广西等地电解铝复产及新增产能投产提速，产量有望赶超去年同期。下游前期因疫情停产的企业逐步恢复生产，市场消费转好预期兑现的可能性变大，现货市场交投转好。海内外铝库存维持低位，叠加国内稳增长政策持续加码，对铝价有一定支撑。</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操作上偏多思路对待，谨防回落风险。</w:t>
            </w:r>
          </w:p>
          <w:p>
            <w:pPr>
              <w:rPr>
                <w:rFonts w:hint="eastAsia"/>
                <w:b/>
                <w:color w:val="auto"/>
                <w:lang w:eastAsia="zh-CN"/>
              </w:rPr>
            </w:pPr>
          </w:p>
          <w:p>
            <w:pPr>
              <w:rPr>
                <w:b/>
                <w:color w:val="auto"/>
                <w:lang w:eastAsia="zh-CN"/>
              </w:rPr>
            </w:pPr>
            <w:r>
              <w:rPr>
                <w:rFonts w:hint="eastAsia"/>
                <w:b/>
                <w:color w:val="auto"/>
                <w:lang w:eastAsia="zh-CN"/>
              </w:rPr>
              <w:t>（有色组</w:t>
            </w:r>
            <w:r>
              <w:rPr>
                <w:rFonts w:hint="eastAsia"/>
                <w:b/>
                <w:color w:val="auto"/>
                <w:lang w:eastAsia="zh-CN"/>
              </w:rPr>
              <w:t>）</w:t>
            </w:r>
          </w:p>
        </w:tc>
      </w:tr>
      <w:tr>
        <w:tblPrEx>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天胶</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欧央行官员昨日表态7月可能会加息，市场继续对美联储5月加息50个基点保持高预期，昨日欧美股市反弹，海外主要金融市场以波动状态为主。国内4月LPR利率保持不变，市场的降息预期落空，国内股市和商品信心受到一定冲击，而政策面继续聚焦大宗商品高价问题，国内工业品期货指数昨日继续高位回调，整体依旧在高位承压震荡状态，对胶价带来波动的影响。行业方面，昨日泰国原料价格继续回落为主，国内版纳地区降雨情况较前几日好转，多数区域正常收胶，昨日胶水收购价小幅上涨，目前在11.6-12的水平。国内人民币干胶市场，昨日贸易商报盘出货积极性稳定，商家买盘情绪升温，整体交投略有增加，美金内盘贸易商报盘氛围维持清淡，场内交投刚需为主。相比而言，国产胶方面盘中持货方出货积极性较好，买盘询盘挂单氛围冷清，成交延续昨日弱势。上海20年SCRWF主流价格在12750—12850元/吨；上海地区SVR3L参考价格在12900—12950元/吨；云南市场国产10#胶参考价格12000—12100元/吨。</w:t>
            </w:r>
          </w:p>
          <w:p>
            <w:pPr>
              <w:widowControl/>
              <w:suppressAutoHyphens w:val="0"/>
              <w:ind w:firstLine="630" w:firstLineChars="300"/>
              <w:jc w:val="left"/>
              <w:rPr>
                <w:rFonts w:hint="eastAsia" w:eastAsia="宋体"/>
                <w:color w:val="auto"/>
                <w:lang w:eastAsia="zh-CN"/>
              </w:rPr>
            </w:pPr>
            <w:r>
              <w:rPr>
                <w:rFonts w:hint="eastAsia"/>
                <w:color w:val="auto"/>
              </w:rPr>
              <w:t>技术面：昨日RU2209弱势下探，多空持仓再度增加，体现出多头继续采取逢低买入的策略，阶段性的，胶价保持在低位震荡格局，上方压力在13500-13600，下方支撑则保持在13300-13400。</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操作建议：短线以轻仓波段交易为主或观望，中线多单可低仓位暂持。</w:t>
            </w:r>
          </w:p>
          <w:p>
            <w:pPr>
              <w:rPr>
                <w:rFonts w:hint="eastAsia"/>
                <w:b/>
                <w:color w:val="auto"/>
                <w:lang w:eastAsia="zh-CN"/>
              </w:rPr>
            </w:pPr>
          </w:p>
          <w:p>
            <w:pPr>
              <w:rPr>
                <w:b/>
                <w:color w:val="auto"/>
                <w:lang w:eastAsia="zh-CN"/>
              </w:rPr>
            </w:pPr>
            <w:r>
              <w:rPr>
                <w:rFonts w:hint="eastAsia"/>
                <w:b/>
                <w:color w:val="auto"/>
                <w:lang w:eastAsia="zh-CN"/>
              </w:rPr>
              <w:t>（王</w:t>
            </w:r>
            <w:r>
              <w:rPr>
                <w:rFonts w:hint="eastAsia"/>
                <w:b/>
                <w:color w:val="auto"/>
                <w:lang w:eastAsia="zh-CN"/>
              </w:rPr>
              <w:t>海峰）</w:t>
            </w:r>
          </w:p>
        </w:tc>
      </w:tr>
      <w:tr>
        <w:tblPrEx>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原油</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伊拉克副总理：不太可能增加石油出口，支持欧佩克减产。伊拉克3月份产量为434万桶/日，较2月份增加8万桶/日，略低于欧佩克437万桶/日的产量上限。中国对中东原油的依赖在2022年第一季度急剧增加，交付量增长4.8%至560万桶/日，市场份额为53.8%。俄罗斯交付量下降近11%，至155万桶/日。4月19日，美国石油协会（API）公布数据显示，美国至4月15日当周API原油库存减少449.6万桶，预期增加253.3万桶，前值增加775.7万桶。美国能源情报署(EIA)在其最近发布的4月份《短期能源展望(STEO)》报告中下调了其对今明两年布伦特原油现货平均价格的预测。利比亚国有国家石油公司周一宣布对其30万桶/日的El Sharara油田实施不可抗力限制，此前该油田被抗议者关闭，加剧了El Feel和较小油田的停电。JODI数据，沙特2月份原油出口从1月份的699.6万桶/日升至730.7万桶/日，为创纪录的1023.7万桶/日以来的最高水平。产量从1014.5万桶/日攀升至1022.5万桶/日。近期欧洲官员正在起草一项分阶段禁止进口俄罗斯石油计划，推动了油价上涨。尽管一些欧盟成员国高度依赖俄罗斯石油进口，本禁令恐难真正实行，但市场不免担忧引爆能源争夺战。本月早些时候，欧盟对俄罗斯的煤炭禁令采取了类似的做法，意味着围绕能源的博弈正在进一步升级。惠誉：如果布伦特原油价格平均为100美元/桶，沙特阿拉伯的石油产量平均将为1070万桶/日；如果价格为80美元/桶，产量为1110万桶/日。</w:t>
            </w:r>
          </w:p>
          <w:p>
            <w:pPr>
              <w:widowControl/>
              <w:suppressAutoHyphens w:val="0"/>
              <w:ind w:firstLine="630" w:firstLineChars="300"/>
              <w:jc w:val="left"/>
              <w:rPr>
                <w:rFonts w:hint="eastAsia" w:ascii="Times New Roman" w:hAnsi="Times New Roman" w:eastAsia="宋体" w:cs="Times New Roman"/>
                <w:color w:val="auto"/>
                <w:kern w:val="2"/>
                <w:sz w:val="21"/>
                <w:lang w:val="en-US" w:eastAsia="zh-CN" w:bidi="ar-SA"/>
              </w:rPr>
            </w:pPr>
            <w:r>
              <w:rPr>
                <w:rFonts w:hint="eastAsia"/>
                <w:color w:val="auto"/>
              </w:rPr>
              <w:t>操作建议: 美国商业原油库存大幅下降，但市场对于疫情之下需求放缓的担忧仍存，国际油价涨跌互现。NYMEX原油期货05合约102.75涨0.19美元/桶或0.19%；ICE布油期货06合约106.80跌0.45美元/桶或0.42%。</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操作思路以震荡偏空为主，关注布伦特原油震荡区间100-115美元/桶，注意止盈止损。</w:t>
            </w:r>
          </w:p>
          <w:p>
            <w:pPr>
              <w:rPr>
                <w:rFonts w:hint="eastAsia"/>
                <w:b/>
                <w:color w:val="auto"/>
                <w:lang w:eastAsia="zh-CN"/>
              </w:rPr>
            </w:pPr>
          </w:p>
          <w:p>
            <w:pPr>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黄世俊</w:t>
            </w:r>
            <w:r>
              <w:rPr>
                <w:rFonts w:hint="eastAsia"/>
                <w:b/>
                <w:color w:val="auto"/>
                <w:lang w:eastAsia="zh-CN"/>
              </w:rPr>
              <w:t>）</w:t>
            </w:r>
          </w:p>
        </w:tc>
      </w:tr>
    </w:tbl>
    <w:p>
      <w:pPr>
        <w:widowControl/>
        <w:jc w:val="left"/>
        <w:rPr>
          <w:rFonts w:ascii="黑体" w:eastAsia="黑体" w:cs="宋体"/>
          <w:color w:val="auto"/>
          <w:szCs w:val="21"/>
        </w:rPr>
      </w:pPr>
      <w:r>
        <w:rPr>
          <w:rFonts w:hint="eastAsia" w:ascii="黑体" w:eastAsia="黑体" w:cs="宋体"/>
          <w:color w:val="auto"/>
          <w:szCs w:val="21"/>
        </w:rPr>
        <w:t>本报告中的信息均来源于公开资料，我公司对这些信息的准确性和完整性不作任何保证，报告中的内容和意见仅供参考。我公司及员工对使用本报刊及其内容所引发的任何直接或间接损失概不负责。本报刊版权归道通期货所有。</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lang w:eastAsia="zh-CN"/>
      </w:rPr>
      <mc:AlternateContent>
        <mc:Choice Requires="wps">
          <w:drawing>
            <wp:anchor distT="0" distB="0" distL="0" distR="0" simplePos="0" relativeHeight="251659264" behindDoc="0" locked="0" layoutInCell="1" allowOverlap="1">
              <wp:simplePos x="0" y="0"/>
              <wp:positionH relativeFrom="page">
                <wp:posOffset>6361430</wp:posOffset>
              </wp:positionH>
              <wp:positionV relativeFrom="paragraph">
                <wp:posOffset>635</wp:posOffset>
              </wp:positionV>
              <wp:extent cx="246380" cy="124460"/>
              <wp:effectExtent l="8255" t="635" r="2540" b="8255"/>
              <wp:wrapSquare wrapText="largest"/>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6380" cy="124460"/>
                      </a:xfrm>
                      <a:prstGeom prst="rect">
                        <a:avLst/>
                      </a:prstGeom>
                      <a:solidFill>
                        <a:srgbClr val="FFFFFF">
                          <a:alpha val="0"/>
                        </a:srgbClr>
                      </a:solidFill>
                      <a:ln>
                        <a:noFill/>
                      </a:ln>
                      <a:effectLst/>
                    </wps:spPr>
                    <wps:txbx>
                      <w:txbxContent>
                        <w:p>
                          <w:pPr>
                            <w:pStyle w:val="2"/>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0.9pt;margin-top:0.05pt;height:9.8pt;width:19.4pt;mso-position-horizontal-relative:page;mso-wrap-distance-bottom:0pt;mso-wrap-distance-left:0pt;mso-wrap-distance-right:0pt;mso-wrap-distance-top:0pt;z-index:251659264;mso-width-relative:page;mso-height-relative:page;" fillcolor="#FFFFFF" filled="t" stroked="f" coordsize="21600,21600" o:gfxdata="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cXJT1AAAAAkBAAAPAAAAAAAAAAEAIAAAACIAAABkcnMvZG93bnJldi54bWxQSwEC&#10;FAAUAAAACACHTuJAExrNKjECAABYBAAADgAAAAAAAAABACAAAAAjAQAAZHJzL2Uyb0RvYy54bWxQ&#10;SwUGAAAAAAYABgBZAQAAxgUAAAAA&#10;">
              <v:fill on="t" opacity="0f" focussize="0,0"/>
              <v:stroke on="f"/>
              <v:imagedata o:title=""/>
              <o:lock v:ext="edit" aspectratio="f"/>
              <v:textbox inset="0mm,0mm,0mm,0mm">
                <w:txbxContent>
                  <w:p>
                    <w:pPr>
                      <w:pStyle w:val="2"/>
                    </w:pPr>
                    <w:r>
                      <w:fldChar w:fldCharType="begin"/>
                    </w:r>
                    <w:r>
                      <w:instrText xml:space="preserve"> PAGE </w:instrText>
                    </w:r>
                    <w:r>
                      <w:fldChar w:fldCharType="separate"/>
                    </w:r>
                    <w:r>
                      <w:t>6</w:t>
                    </w:r>
                    <w:r>
                      <w:fldChar w:fldCharType="end"/>
                    </w:r>
                  </w:p>
                </w:txbxContent>
              </v:textbox>
              <w10:wrap type="square" side="largest"/>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w:drawing>
        <wp:inline distT="0" distB="0" distL="0" distR="0">
          <wp:extent cx="4343400" cy="647700"/>
          <wp:effectExtent l="0" t="0" r="0" b="0"/>
          <wp:docPr id="3" name="图片 3" descr="0141341712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4134171215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43400" cy="647700"/>
                  </a:xfrm>
                  <a:prstGeom prst="rect">
                    <a:avLst/>
                  </a:prstGeom>
                  <a:solidFill>
                    <a:srgbClr val="FFFFFF"/>
                  </a:solidFill>
                  <a:ln>
                    <a:noFill/>
                  </a:ln>
                  <a:effectLst/>
                </pic:spPr>
              </pic:pic>
            </a:graphicData>
          </a:graphic>
        </wp:inline>
      </w:drawing>
    </w:r>
    <w:r>
      <w:rPr>
        <w:rFonts w:hint="eastAsia"/>
        <w:b/>
        <w:sz w:val="24"/>
      </w:rPr>
      <w:t>研究所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E2C"/>
    <w:rsid w:val="000E5154"/>
    <w:rsid w:val="000F371A"/>
    <w:rsid w:val="0012356C"/>
    <w:rsid w:val="001C1FC2"/>
    <w:rsid w:val="001D4A9A"/>
    <w:rsid w:val="00212FE7"/>
    <w:rsid w:val="00293230"/>
    <w:rsid w:val="002C2C71"/>
    <w:rsid w:val="003B7B20"/>
    <w:rsid w:val="00423CD1"/>
    <w:rsid w:val="004C6700"/>
    <w:rsid w:val="004D5BD2"/>
    <w:rsid w:val="004D5EAC"/>
    <w:rsid w:val="004E76CE"/>
    <w:rsid w:val="004F7FFA"/>
    <w:rsid w:val="00525381"/>
    <w:rsid w:val="00533C3E"/>
    <w:rsid w:val="005579C3"/>
    <w:rsid w:val="00577396"/>
    <w:rsid w:val="00592B06"/>
    <w:rsid w:val="00635AE0"/>
    <w:rsid w:val="00642BBB"/>
    <w:rsid w:val="007E13BC"/>
    <w:rsid w:val="00944398"/>
    <w:rsid w:val="00956E05"/>
    <w:rsid w:val="00977AD7"/>
    <w:rsid w:val="009D7439"/>
    <w:rsid w:val="00A2026A"/>
    <w:rsid w:val="00A968EA"/>
    <w:rsid w:val="00AC565B"/>
    <w:rsid w:val="00AF5C20"/>
    <w:rsid w:val="00B5427D"/>
    <w:rsid w:val="00B57BA2"/>
    <w:rsid w:val="00BD402B"/>
    <w:rsid w:val="00C307B2"/>
    <w:rsid w:val="00C37202"/>
    <w:rsid w:val="00C56BD5"/>
    <w:rsid w:val="00CF0B5A"/>
    <w:rsid w:val="00D215DB"/>
    <w:rsid w:val="00D406FC"/>
    <w:rsid w:val="00D711A4"/>
    <w:rsid w:val="00D835F1"/>
    <w:rsid w:val="00DA0DD2"/>
    <w:rsid w:val="00F51399"/>
    <w:rsid w:val="01A17F68"/>
    <w:rsid w:val="08D77793"/>
    <w:rsid w:val="09656767"/>
    <w:rsid w:val="099174FC"/>
    <w:rsid w:val="0A57325E"/>
    <w:rsid w:val="0A624104"/>
    <w:rsid w:val="0C12090D"/>
    <w:rsid w:val="0D7A2D36"/>
    <w:rsid w:val="14E22F0B"/>
    <w:rsid w:val="16714D70"/>
    <w:rsid w:val="18B11A3E"/>
    <w:rsid w:val="18B21305"/>
    <w:rsid w:val="195C02AF"/>
    <w:rsid w:val="1A8E2066"/>
    <w:rsid w:val="1C955016"/>
    <w:rsid w:val="1CAE3AF0"/>
    <w:rsid w:val="1EC70303"/>
    <w:rsid w:val="1F7E29BD"/>
    <w:rsid w:val="20970D76"/>
    <w:rsid w:val="226C1608"/>
    <w:rsid w:val="227F224C"/>
    <w:rsid w:val="23F270CF"/>
    <w:rsid w:val="2A7A4984"/>
    <w:rsid w:val="2B252FF2"/>
    <w:rsid w:val="2D8D3BC9"/>
    <w:rsid w:val="321D62B5"/>
    <w:rsid w:val="341F7FC4"/>
    <w:rsid w:val="353D5E3C"/>
    <w:rsid w:val="358935BB"/>
    <w:rsid w:val="36AB3BBE"/>
    <w:rsid w:val="384D33C8"/>
    <w:rsid w:val="406C6812"/>
    <w:rsid w:val="41A00C7B"/>
    <w:rsid w:val="424E1F35"/>
    <w:rsid w:val="426E1857"/>
    <w:rsid w:val="430419B8"/>
    <w:rsid w:val="442D0F38"/>
    <w:rsid w:val="4A29450B"/>
    <w:rsid w:val="4A2A5B0A"/>
    <w:rsid w:val="4B25247A"/>
    <w:rsid w:val="4CDB5F58"/>
    <w:rsid w:val="4D9E7DC0"/>
    <w:rsid w:val="4DA0349C"/>
    <w:rsid w:val="4FCE0CA2"/>
    <w:rsid w:val="5132643B"/>
    <w:rsid w:val="526922B9"/>
    <w:rsid w:val="53B809A0"/>
    <w:rsid w:val="578723B2"/>
    <w:rsid w:val="5B922A05"/>
    <w:rsid w:val="5CDE1F17"/>
    <w:rsid w:val="5FAE7A14"/>
    <w:rsid w:val="60593F12"/>
    <w:rsid w:val="66714647"/>
    <w:rsid w:val="66CC74E1"/>
    <w:rsid w:val="73C8743F"/>
    <w:rsid w:val="7A3D7229"/>
    <w:rsid w:val="7A857A1E"/>
    <w:rsid w:val="7A8C2DBA"/>
    <w:rsid w:val="7B9137A7"/>
    <w:rsid w:val="7DFC7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2"/>
      <w:sz w:val="21"/>
      <w:lang w:val="en-US" w:eastAsia="ar-SA"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000000" w:sz="4" w:space="1"/>
      </w:pBdr>
      <w:tabs>
        <w:tab w:val="center" w:pos="4153"/>
        <w:tab w:val="right" w:pos="8306"/>
      </w:tabs>
      <w:snapToGrid w:val="0"/>
      <w:jc w:val="center"/>
    </w:pPr>
    <w:rPr>
      <w:sz w:val="18"/>
    </w:rPr>
  </w:style>
  <w:style w:type="character" w:customStyle="1" w:styleId="6">
    <w:name w:val="页脚 字符"/>
    <w:basedOn w:val="5"/>
    <w:link w:val="2"/>
    <w:qFormat/>
    <w:uiPriority w:val="0"/>
    <w:rPr>
      <w:rFonts w:ascii="Times New Roman" w:hAnsi="Times New Roman" w:eastAsia="宋体" w:cs="Times New Roman"/>
      <w:sz w:val="18"/>
      <w:szCs w:val="20"/>
      <w:lang w:eastAsia="ar-SA"/>
    </w:rPr>
  </w:style>
  <w:style w:type="character" w:customStyle="1" w:styleId="7">
    <w:name w:val="页眉 字符"/>
    <w:basedOn w:val="5"/>
    <w:link w:val="3"/>
    <w:qFormat/>
    <w:uiPriority w:val="0"/>
    <w:rPr>
      <w:rFonts w:ascii="Times New Roman" w:hAnsi="Times New Roman" w:eastAsia="宋体" w:cs="Times New Roman"/>
      <w:sz w:val="18"/>
      <w:szCs w:val="20"/>
      <w:lang w:eastAsia="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845</Words>
  <Characters>4817</Characters>
  <Lines>40</Lines>
  <Paragraphs>11</Paragraphs>
  <TotalTime>1</TotalTime>
  <ScaleCrop>false</ScaleCrop>
  <LinksUpToDate>false</LinksUpToDate>
  <CharactersWithSpaces>5651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2021-04-23T15:55:00Z</dcterms:created>
  <dc:creator>admin</dc:creator>
  <cp:lastModifiedBy>admin</cp:lastModifiedBy>
  <dcterms:modified xsi:type="dcterms:W3CDTF">2022-04-21T00:43:09Z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241ED9DFB688474D48B653619F6A5D07</vt:lpwstr>
  </property>
</Properties>
</file>