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4月20</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bookmarkStart w:id="0" w:name="_GoBack"/>
      <w:bookmarkEnd w:id="0"/>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 xml:space="preserve">1  IMF《世界经济展望》最新预测：下调全球经济增长前景，提高通胀预测，将2022年全球经济增长预测从4.4%降至3.6%；将2023年全球经济增长预测从3.8%降至3.6%  。2022年亚洲新兴和发展中经济体经济增长预测为5.4%，2023年为5.6%。（此前预测为5.9%和5.8%），2022年欧元区经济增长预测为2.8%，2023年为2.3%。（此前预测为3.9%和2.5%） ，发达经济体经济增长预测为3.3%，2023年为2.4%。（此前预测为3.9%和2.6%） ，2023年美国经济增长预测为2.3%。（此前预测为2.6%） ，2022年美国经济增长预测为3.7%。（此前预测为4.0%） 。新兴市场和发展中国家的通胀率预计将为8.7%，较1月份的预测高出2.8个百分点，发达经济体2022年的通胀率预计为5.7%，比1月份的预测高1.8个百分点；通胀预期失控的风险越来越大，这将促使各国央行采取更积极的紧缩措施   </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习近平主持召开中央全面深化改革委员会第二十五次会议'会议强调，加强数字政府建设，推进省以下财政体制改革。</w:t>
      </w:r>
    </w:p>
    <w:p>
      <w:pPr>
        <w:jc w:val="left"/>
        <w:rPr>
          <w:rFonts w:hint="eastAsia"/>
          <w:color w:val="auto"/>
        </w:rPr>
      </w:pPr>
      <w:r>
        <w:rPr>
          <w:rFonts w:hint="eastAsia"/>
          <w:color w:val="auto"/>
        </w:rPr>
        <w:t>2  财政部：要实施更大力度减税降费，加强对市场主体支持，激活市场主体活力</w:t>
      </w:r>
    </w:p>
    <w:p>
      <w:pPr>
        <w:jc w:val="left"/>
        <w:rPr>
          <w:rFonts w:hint="eastAsia"/>
          <w:color w:val="auto"/>
        </w:rPr>
      </w:pPr>
      <w:r>
        <w:rPr>
          <w:rFonts w:hint="eastAsia"/>
          <w:color w:val="auto"/>
        </w:rPr>
        <w:t>3  国资委:一季度中央企业经济效益稳步增长、运行质量持续改善。从“两利四率”的指标看，一季度较好实现“两增一控三提高”目标，为实现全年经济运行目标奠定良好基础</w:t>
      </w:r>
    </w:p>
    <w:p>
      <w:pPr>
        <w:jc w:val="left"/>
        <w:rPr>
          <w:rFonts w:hint="eastAsia"/>
          <w:color w:val="auto"/>
        </w:rPr>
      </w:pPr>
      <w:r>
        <w:rPr>
          <w:rFonts w:hint="eastAsia"/>
          <w:color w:val="auto"/>
        </w:rPr>
        <w:t>4  发改委:下一步将加大助企纾困力度。在精准落实疫情防控举措的基础上，全力做好物流保通保畅工作。将密切跟踪研判国内外形势发展变化，针对可能遇到的各种不确定性，制定完善各类应对预案，加强政策储备，及时出台有力措施，确保经济运行在合理区间。</w:t>
      </w:r>
    </w:p>
    <w:p>
      <w:pPr>
        <w:jc w:val="left"/>
        <w:rPr>
          <w:rFonts w:hint="eastAsia"/>
          <w:color w:val="auto"/>
        </w:rPr>
      </w:pPr>
      <w:r>
        <w:rPr>
          <w:rFonts w:hint="eastAsia"/>
          <w:color w:val="auto"/>
        </w:rPr>
        <w:t>5 广州期货交易所的官网已正式上线运行。网站域名：www.gfex.com.cn，2021年5月，广期所两年期品种计划获中国证监会批准，明确将16个期货品种交由广期所研发上市</w:t>
      </w:r>
    </w:p>
    <w:p>
      <w:pPr>
        <w:jc w:val="left"/>
        <w:rPr>
          <w:rFonts w:hint="eastAsia"/>
          <w:color w:val="auto"/>
        </w:rPr>
      </w:pPr>
      <w:r>
        <w:rPr>
          <w:rFonts w:hint="eastAsia"/>
          <w:color w:val="auto"/>
        </w:rPr>
        <w:t>6  乘联会发文指出，全国乘用车市场2022年受到消费低迷的影响，一季度全国乘用车市场累计零售491.5万辆，同比下降4.5%，总体走势低于预期。</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美国总统拜登就基础设施发表讲话。</w:t>
      </w:r>
    </w:p>
    <w:p>
      <w:pPr>
        <w:jc w:val="left"/>
        <w:rPr>
          <w:rFonts w:hint="eastAsia"/>
          <w:color w:val="auto"/>
        </w:rPr>
      </w:pPr>
      <w:r>
        <w:rPr>
          <w:rFonts w:hint="eastAsia"/>
          <w:color w:val="auto"/>
        </w:rPr>
        <w:t>欧洲央行公布季度欧元区经济预期调查。</w:t>
      </w:r>
    </w:p>
    <w:p>
      <w:pPr>
        <w:jc w:val="left"/>
        <w:rPr>
          <w:rFonts w:hint="eastAsia"/>
          <w:color w:val="auto"/>
        </w:rPr>
      </w:pPr>
      <w:r>
        <w:rPr>
          <w:rFonts w:hint="eastAsia"/>
          <w:color w:val="auto"/>
        </w:rPr>
        <w:t>17:00</w:t>
      </w:r>
      <w:r>
        <w:rPr>
          <w:rFonts w:hint="eastAsia"/>
          <w:color w:val="auto"/>
        </w:rPr>
        <w:tab/>
      </w:r>
      <w:r>
        <w:rPr>
          <w:rFonts w:hint="eastAsia"/>
          <w:color w:val="auto"/>
        </w:rPr>
        <w:t>欧元区2月季调后贸易帐(亿欧元)</w:t>
      </w:r>
      <w:r>
        <w:rPr>
          <w:rFonts w:hint="eastAsia"/>
          <w:color w:val="auto"/>
        </w:rPr>
        <w:tab/>
      </w:r>
      <w:r>
        <w:rPr>
          <w:rFonts w:hint="eastAsia"/>
          <w:color w:val="auto"/>
        </w:rPr>
        <w:t>-77</w:t>
      </w:r>
    </w:p>
    <w:p>
      <w:pPr>
        <w:jc w:val="left"/>
        <w:rPr>
          <w:rFonts w:hint="eastAsia"/>
          <w:color w:val="auto"/>
        </w:rPr>
      </w:pPr>
      <w:r>
        <w:rPr>
          <w:rFonts w:hint="eastAsia"/>
          <w:color w:val="auto"/>
        </w:rPr>
        <w:t>22:00</w:t>
      </w:r>
      <w:r>
        <w:rPr>
          <w:rFonts w:hint="eastAsia"/>
          <w:color w:val="auto"/>
        </w:rPr>
        <w:tab/>
      </w:r>
      <w:r>
        <w:rPr>
          <w:rFonts w:hint="eastAsia"/>
          <w:color w:val="auto"/>
        </w:rPr>
        <w:t>美国3月成屋销售年化总数(万户)</w:t>
      </w:r>
      <w:r>
        <w:rPr>
          <w:rFonts w:hint="eastAsia"/>
          <w:color w:val="auto"/>
        </w:rPr>
        <w:tab/>
      </w:r>
      <w:r>
        <w:rPr>
          <w:rFonts w:hint="eastAsia"/>
          <w:color w:val="auto"/>
        </w:rPr>
        <w:t>602</w:t>
      </w:r>
      <w:r>
        <w:rPr>
          <w:rFonts w:hint="eastAsia"/>
          <w:color w:val="auto"/>
        </w:rPr>
        <w:tab/>
      </w:r>
      <w:r>
        <w:rPr>
          <w:rFonts w:hint="eastAsia"/>
          <w:color w:val="auto"/>
        </w:rPr>
        <w:t>580</w:t>
      </w:r>
      <w:r>
        <w:rPr>
          <w:rFonts w:hint="eastAsia"/>
          <w:color w:val="auto"/>
        </w:rPr>
        <w:tab/>
      </w:r>
      <w:r>
        <w:rPr>
          <w:rFonts w:hint="eastAsia"/>
          <w:color w:val="auto"/>
        </w:rPr>
        <w:tab/>
      </w:r>
    </w:p>
    <w:p>
      <w:pPr>
        <w:jc w:val="left"/>
        <w:rPr>
          <w:rFonts w:hint="eastAsia"/>
          <w:color w:val="auto"/>
        </w:rPr>
      </w:pPr>
      <w:r>
        <w:rPr>
          <w:rFonts w:hint="eastAsia"/>
          <w:color w:val="auto"/>
        </w:rPr>
        <w:t>美国3月成屋销售年化月率(%)</w:t>
      </w:r>
      <w:r>
        <w:rPr>
          <w:rFonts w:hint="eastAsia"/>
          <w:color w:val="auto"/>
        </w:rPr>
        <w:tab/>
      </w:r>
      <w:r>
        <w:rPr>
          <w:rFonts w:hint="eastAsia"/>
          <w:color w:val="auto"/>
        </w:rPr>
        <w:t>-7.2</w:t>
      </w:r>
      <w:r>
        <w:rPr>
          <w:rFonts w:hint="eastAsia"/>
          <w:color w:val="auto"/>
        </w:rPr>
        <w:tab/>
      </w:r>
      <w:r>
        <w:rPr>
          <w:rFonts w:hint="eastAsia"/>
          <w:color w:val="auto"/>
        </w:rPr>
        <w:t>-4.2。</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lang w:eastAsia="zh-CN"/>
        </w:rPr>
      </w:pPr>
      <w:r>
        <w:rPr>
          <w:rFonts w:hint="eastAsia"/>
          <w:color w:val="auto"/>
        </w:rPr>
        <w:t xml:space="preserve">   沪指横盘震荡，创业板指冲高回落，截止收盘沪指跌0.05%，深成指跌0.5%，创业板指跌1.38%。拉锯行情继续，乏善可陈，整体控制好仓位，只宜轻仓短线。</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100.97部位；人民币离岸价大贬于6.418。欧美股市美强欧弱。美公债收益率高企及预期美经济数据可能较好支撑美金融标的。NYMEX6月原油期货下跌5.56美元，结算价报每桶102.05美元。此前国际货币基金组织下调经济增长预期并就通胀上升发出警告，引发了需求担忧。芝加哥(CBOT)大豆收盘涨跌互现，交易商表示，美国出口需求强劲，豆油期货追平合约纪录高位。CBOT 5月大豆收高1-3/4美分，结算价报每蒲式耳17.16-1/2美元。7月大豆合约结算价下跌1-1/2美分，报每蒲式耳16.91-3/4美元。7月豆油收涨0.11美分，结算价报每磅78.20美分，稍早追平周一创下的合约高位78.50美分。7月豆粕收跌0.7美元，结算价报每短吨459.60美元。据美国农业部网站4月19日消息，民间出口商报告向未知目的地出口销售123,650吨大豆，2021/22市场年度交付。巴西谷物出口商协会预计，巴西4月大豆出口量料达1,198万吨，上周预估为1,202.3万吨。交易商称，原油等其它商品的跌势为大豆市场建立负面基调。</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框架如前，美豆高位区间内略回撤，因原油回落压制油粕比。大连盘跟随。9月油粕比回撤至2.72；粕5－9逆差做缩至94点，与现货基差做缩同理。粕9日内看围绕4050的波动，宜灵活。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（农产品部</w:t>
            </w:r>
            <w:r>
              <w:rPr>
                <w:rFonts w:hint="eastAsia"/>
                <w:b/>
                <w:color w:val="auto"/>
                <w:lang w:eastAsia="zh-CN"/>
              </w:rPr>
              <w:t>）</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美元走强，美棉下跌，7月价格回落至138美分附近；郑棉夜盘弱势震荡，9月合约最新价格在21440元附近。截至2022年4月17日当周，美国棉花种植率为10%，此前一周为7%，去年同期为11%，五年均值为9%。美国EMOT M到港价157.55分/磅（+0）；印度S-6 1-1/8到港价161美分/磅（+0）；巴西M到港价159.2美分/磅（+0）；国内棉花现货指数CCI3128B报价至22562元/吨（+8），期现价差-1057（09合约收盘价-现货价），涤纶短纤报价7850元/吨(+50)，黏胶短纤报价14100元/吨（+0）；CY Index C32S报价28680元/吨（+30），FCY Index C32S(进口棉纱价格指数)报价31992元/吨（+170）郑棉仓单17292张（+12），有效预报799（+30）。</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综上，外强内弱延续，郑棉盘面底部有抬高迹象，短线不追涨杀跌，中长线空单续持，逢反弹加仓，防守参考22000元。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钢材周二价格宽幅震荡，螺纹2210合约收于5087，热卷2210合约收于5221。现货方面，19日唐山普方坯出厂价报4810（+20），上海地区螺纹钢现货价格(HRB400 20mm)5090元（平），热卷现货价格(4.75mm)5160元（-10）。</w:t>
            </w:r>
          </w:p>
          <w:p>
            <w:pPr>
              <w:widowControl/>
              <w:suppressAutoHyphens w:val="0"/>
              <w:ind w:firstLine="630" w:firstLineChars="300"/>
              <w:jc w:val="left"/>
              <w:rPr>
                <w:rFonts w:hint="eastAsia"/>
                <w:color w:val="auto"/>
              </w:rPr>
            </w:pPr>
            <w:r>
              <w:rPr>
                <w:rFonts w:hint="eastAsia"/>
                <w:color w:val="auto"/>
              </w:rPr>
              <w:t>2022年一季度，中国家电实现零售额1430亿元，同比下降11.1%；线上家电零售市场下降7.5%。海关数据显示，前两个月，家电产品海外出口规模也同比下降5.9%。线上、海外增长引擎双双“哑火”，家电企业迎来巨大挑战。</w:t>
            </w:r>
          </w:p>
          <w:p>
            <w:pPr>
              <w:widowControl/>
              <w:suppressAutoHyphens w:val="0"/>
              <w:ind w:firstLine="630" w:firstLineChars="300"/>
              <w:jc w:val="left"/>
              <w:rPr>
                <w:rFonts w:hint="eastAsia"/>
                <w:color w:val="auto"/>
              </w:rPr>
            </w:pPr>
            <w:r>
              <w:rPr>
                <w:rFonts w:hint="eastAsia"/>
                <w:color w:val="auto"/>
              </w:rPr>
              <w:t>据交通运输部统计数据显示，2022年3月份我国公路水路交通固定资产投资2388亿元，同比增长7.7%；其中公路建投资2258亿元，同比增长7.7%；内河建设投资62亿元，同比增长12.1%；沿海建设投资64亿元，同比下降1.7%。</w:t>
            </w:r>
          </w:p>
          <w:p>
            <w:pPr>
              <w:widowControl/>
              <w:suppressAutoHyphens w:val="0"/>
              <w:ind w:firstLine="630" w:firstLineChars="300"/>
              <w:jc w:val="left"/>
              <w:rPr>
                <w:rFonts w:hint="eastAsia"/>
                <w:color w:val="auto"/>
              </w:rPr>
            </w:pPr>
            <w:r>
              <w:rPr>
                <w:rFonts w:hint="eastAsia"/>
                <w:color w:val="auto"/>
              </w:rPr>
              <w:t>发改委等四部门研究部署2022年粗钢产量压减工作，将重点压减京津冀及周边地区、长三角地区、汾渭平原等大气污染防治重点区域粗钢产量，重点压减环保绩效水平差、耗能高、工艺装备水平相对落后的粗钢产量，确保实现2022年全国粗钢产量同比下降。</w:t>
            </w:r>
          </w:p>
          <w:p>
            <w:pPr>
              <w:widowControl/>
              <w:suppressAutoHyphens w:val="0"/>
              <w:ind w:firstLine="630" w:firstLineChars="300"/>
              <w:jc w:val="left"/>
              <w:rPr>
                <w:rFonts w:hint="eastAsia" w:eastAsia="宋体"/>
                <w:color w:val="auto"/>
                <w:lang w:val="en-US" w:eastAsia="zh-CN"/>
              </w:rPr>
            </w:pPr>
            <w:r>
              <w:rPr>
                <w:rFonts w:hint="eastAsia"/>
                <w:color w:val="auto"/>
              </w:rPr>
              <w:t>昨日发改委发言人表示本年度国家对钢铁行业仍以压产为总目标，受此消息影响，黑色市场原材料煤炭、铁矿价格大幅回落。从今年1季度的情况看，粗钢产量较上年同期已经下降2500万吨，减产10.5%，短期消息更多是对市场情绪造成影响，利多钢材，利空原材料，后续的压产强度和持续情况需要观察。</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钢材价格在弱现实强预期的博弈中震荡走势，建议短线或观望为主，谨防短期原材料价格回落造成的价格波动。</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eastAsia"/>
                <w:color w:val="auto"/>
              </w:rPr>
              <w:t xml:space="preserve">      昨日进口铁矿港口现货全天价格下跌13-28。现青岛港PB粉986跌19，超特粉730跌25；曹妃甸港PB粉989跌23，超特粉735跌20；天津港PB粉998跌28，混合粉851跌23,；江内港PB粉1027跌13，超特粉765跌14；鲅鱼圈港PB粉1034跌21；防城港港PB粉1000跌23。</w:t>
            </w:r>
          </w:p>
          <w:p>
            <w:pPr>
              <w:widowControl/>
              <w:suppressAutoHyphens w:val="0"/>
              <w:jc w:val="left"/>
              <w:rPr>
                <w:rFonts w:hint="eastAsia"/>
                <w:color w:val="auto"/>
              </w:rPr>
            </w:pPr>
            <w:r>
              <w:rPr>
                <w:rFonts w:hint="eastAsia"/>
                <w:color w:val="auto"/>
              </w:rPr>
              <w:t xml:space="preserve">      IMF下调全球经济增长预期，上调通胀预期。预计2022年全球经济将增长3.6%，较此前预测下调0.8%，并全面调降了各大主要经济体今年的增速预期。展望未来，IMF预计大宗商品价格将在2022年持续上涨，然后在2023年有所缓解。</w:t>
            </w:r>
          </w:p>
          <w:p>
            <w:pPr>
              <w:widowControl/>
              <w:suppressAutoHyphens w:val="0"/>
              <w:jc w:val="left"/>
              <w:rPr>
                <w:rFonts w:hint="eastAsia"/>
                <w:color w:val="auto"/>
              </w:rPr>
            </w:pPr>
            <w:r>
              <w:rPr>
                <w:rFonts w:hint="eastAsia"/>
                <w:color w:val="auto"/>
              </w:rPr>
              <w:t xml:space="preserve">       发改委等四部门研究部署2022年粗钢产量压减工作，将重点压减京津冀及周边地区、长三角地区、汾渭平原等大气污染防治重点区域粗钢产量，重点压减环保绩效水平差、耗能高、工艺装备水平相对落后的粗钢产量，确保实现2022年全国粗钢产量同比下降。</w:t>
            </w:r>
          </w:p>
          <w:p>
            <w:pPr>
              <w:widowControl/>
              <w:suppressAutoHyphens w:val="0"/>
              <w:jc w:val="left"/>
              <w:rPr>
                <w:rFonts w:hint="eastAsia" w:eastAsia="宋体"/>
                <w:color w:val="auto"/>
                <w:lang w:val="en-US" w:eastAsia="zh-CN"/>
              </w:rPr>
            </w:pPr>
            <w:r>
              <w:rPr>
                <w:rFonts w:hint="eastAsia"/>
                <w:color w:val="auto"/>
              </w:rPr>
              <w:t xml:space="preserve">      发改委提出确保实现2022年全国粗钢产量同比下降，减弱了铁水产量的回升预期空间，247家钢厂铁水产量在240万吨/天以上将逐渐面临制约；同时，由于废钢的紧张和成本的高企，电炉减量的空间会大于高炉减量的空间，铁水产量的减幅或小于粗钢产量减幅；短期来看，矿石价格仍呈现高位震荡态势，终端需求的恢复状况依然是影响价格的核心因素</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短线交易。</w:t>
            </w:r>
          </w:p>
          <w:p>
            <w:pPr>
              <w:rPr>
                <w:rFonts w:hint="eastAsia"/>
                <w:b/>
                <w:color w:val="auto"/>
                <w:lang w:eastAsia="zh-CN"/>
              </w:rPr>
            </w:pPr>
          </w:p>
          <w:p>
            <w:pPr>
              <w:rPr>
                <w:rFonts w:hint="eastAsia"/>
                <w:b/>
                <w:color w:val="auto"/>
                <w:lang w:eastAsia="zh-CN"/>
              </w:rPr>
            </w:pPr>
            <w:r>
              <w:rPr>
                <w:rFonts w:hint="eastAsia"/>
                <w:b/>
                <w:color w:val="auto"/>
                <w:lang w:eastAsia="zh-CN"/>
              </w:rPr>
              <w:t>(杨</w:t>
            </w:r>
            <w:r>
              <w:rPr>
                <w:rFonts w:hint="eastAsia"/>
                <w:b/>
                <w:color w:val="auto"/>
                <w:lang w:eastAsia="zh-CN"/>
              </w:rPr>
              <w:t>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现货市场，双焦价格稳中向好。山西介休1.3硫主焦2600元/吨，蒙5金泉提货价2950元/吨，澳煤到岸价489美元/吨；吕梁准一出厂价3550元/吨，唐山二级焦到厂价3650元/吨，青岛港准一焦平仓价3800元/吨。</w:t>
            </w:r>
          </w:p>
          <w:p>
            <w:pPr>
              <w:widowControl/>
              <w:suppressAutoHyphens w:val="0"/>
              <w:ind w:firstLine="630" w:firstLineChars="300"/>
              <w:jc w:val="left"/>
              <w:rPr>
                <w:rFonts w:hint="eastAsia"/>
                <w:color w:val="auto"/>
              </w:rPr>
            </w:pPr>
            <w:r>
              <w:rPr>
                <w:rFonts w:hint="eastAsia"/>
                <w:color w:val="auto"/>
              </w:rPr>
              <w:t>各地产销，山西地区外省运输仍未得到有效解决，矿方库存堆积，不过临汾乡宁及运城河津区域中煤集团下属三座煤矿继续停产，部分煤种供应或有所收紧。内蒙古棋盘井地区此前违法取水用水，叠加环保检查因素尚存，当地炼焦煤供应偏紧。山西晋中、长治等多地开展全员核酸检测，检测期间区域封闭，物流运输仍然受限，影响焦企多有20-50%不同程度减产。钢厂方面，疫情导致物流运输受阻，焦炭供应不足，有焖炉检修情况，对焦炭的采购积极性都很高。目前部分钢厂已接受焦炭第六轮涨价，累计涨幅1200元/吨，主流钢厂暂无回应。</w:t>
            </w:r>
          </w:p>
          <w:p>
            <w:pPr>
              <w:widowControl/>
              <w:suppressAutoHyphens w:val="0"/>
              <w:ind w:firstLine="630" w:firstLineChars="300"/>
              <w:jc w:val="left"/>
              <w:rPr>
                <w:rFonts w:hint="eastAsia"/>
                <w:color w:val="auto"/>
              </w:rPr>
            </w:pPr>
            <w:r>
              <w:rPr>
                <w:rFonts w:hint="eastAsia"/>
                <w:color w:val="auto"/>
              </w:rPr>
              <w:t>发改委等四部门研究部署2022年粗钢产量压减工作，将重点压减京津冀及周边地区、长三角地区、汾渭平原等大气污染防治重点区域粗钢产量，重点压减环保绩效水平差、耗能高、工艺装备水平相对落后的粗钢产量，确保实现2022年全国粗钢产量同比下降。</w:t>
            </w:r>
          </w:p>
          <w:p>
            <w:pPr>
              <w:widowControl/>
              <w:suppressAutoHyphens w:val="0"/>
              <w:ind w:firstLine="630" w:firstLineChars="300"/>
              <w:jc w:val="left"/>
              <w:rPr>
                <w:rFonts w:hint="eastAsia"/>
                <w:color w:val="auto"/>
              </w:rPr>
            </w:pPr>
            <w:r>
              <w:rPr>
                <w:rFonts w:hint="eastAsia"/>
                <w:color w:val="auto"/>
              </w:rPr>
              <w:t>根据党中央、国务院决策部署和全国安全生产大检查工作安排，自4月中旬至6月底，国务院安委会组织16个综合检查组，对31个省（自治区、直辖市）和新疆生产建设兵团安全生产大检查情况进行综合督导。</w:t>
            </w:r>
          </w:p>
          <w:p>
            <w:pPr>
              <w:widowControl/>
              <w:suppressAutoHyphens w:val="0"/>
              <w:ind w:firstLine="630" w:firstLineChars="300"/>
              <w:jc w:val="left"/>
              <w:rPr>
                <w:rFonts w:hint="eastAsia" w:eastAsia="宋体"/>
                <w:color w:val="auto"/>
                <w:lang w:val="en-US" w:eastAsia="zh-CN"/>
              </w:rPr>
            </w:pPr>
            <w:r>
              <w:rPr>
                <w:rFonts w:hint="eastAsia"/>
                <w:color w:val="auto"/>
              </w:rPr>
              <w:t>昨日发改委对压减粗钢产量的表态，一定程度上暗示了终端需求的下滑压力，盘面高位压力相应增大。但从焦煤供应仍相对较低，粗钢产量平控下，供求仍维持紧平衡的预期，下方仍有支撑，焦炭产能相对充足，后期主要受焦煤成本和终端需求强弱的影响。双焦回调后关注下方支撑表现，短期料震荡走势</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暂时观望。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高位震荡，沪铝主力月2205合约收至21920元/吨，涨115元，涨幅0.53%。现货方面，19日长江现货成交价格22000-22040元/吨，涨230元，贴水65-贴水25；广东南储报22120-22180元/吨，涨220元；华通报22060-22100元/吨，涨230元。持货商低价出货，接货商需求清淡，仅少量补入低价货源，整体成交显得一般。</w:t>
            </w:r>
          </w:p>
          <w:p>
            <w:pPr>
              <w:widowControl/>
              <w:suppressAutoHyphens w:val="0"/>
              <w:ind w:firstLine="630" w:firstLineChars="300"/>
              <w:jc w:val="left"/>
              <w:rPr>
                <w:rFonts w:hint="eastAsia"/>
                <w:color w:val="auto"/>
                <w:lang w:val="en-US" w:eastAsia="zh-CN"/>
              </w:rPr>
            </w:pPr>
            <w:r>
              <w:rPr>
                <w:rFonts w:hint="eastAsia"/>
                <w:color w:val="auto"/>
                <w:lang w:val="en-US" w:eastAsia="zh-CN"/>
              </w:rPr>
              <w:t>国家统计局报告显示，我国3月原铝产量为330万吨，高于2021年3月的327.6万吨，较去年同期增加1.8%，触及去年5月以来最高，因得到产出复苏以及利润丰厚的支撑。而3月国内多地突发疫情，影响了部分铝厂的铝水转化，根据计算显示3月日均原铝产量为106,452吨，略低于1-2月日均产量的107,288吨。</w:t>
            </w:r>
          </w:p>
          <w:p>
            <w:pPr>
              <w:widowControl/>
              <w:suppressAutoHyphens w:val="0"/>
              <w:ind w:firstLine="630" w:firstLineChars="300"/>
              <w:jc w:val="left"/>
              <w:rPr>
                <w:color w:val="auto"/>
              </w:rPr>
            </w:pPr>
            <w:r>
              <w:rPr>
                <w:rFonts w:hint="eastAsia"/>
                <w:color w:val="auto"/>
                <w:lang w:val="en-US" w:eastAsia="zh-CN"/>
              </w:rPr>
              <w:t>俄乌冲突下俄罗斯面临欧盟以及其他北约国家新一轮制裁，俄铝向外出口受阻，欧洲铝企减产预期仍存，海外供应忧虑持续。国内云南、广西等地电解铝复产及新增产能投产提速，产量有望赶超去年同期。下游前期因疫情停产的企业逐步恢复生产，市场消费转好预期兑现的可能性变大，现货市场交投转好。海内外铝库存维持低位，国内降准消息进一步打压空头信心，铝价偏强运行。</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操作上偏多思路对待，逢低买入为主。</w:t>
            </w:r>
          </w:p>
          <w:p>
            <w:pPr>
              <w:rPr>
                <w:rFonts w:hint="eastAsia"/>
                <w:b/>
                <w:color w:val="auto"/>
                <w:lang w:eastAsia="zh-CN"/>
              </w:rPr>
            </w:pPr>
          </w:p>
          <w:p>
            <w:pPr>
              <w:rPr>
                <w:b/>
                <w:color w:val="auto"/>
                <w:lang w:eastAsia="zh-CN"/>
              </w:rPr>
            </w:pPr>
            <w:r>
              <w:rPr>
                <w:rFonts w:hint="eastAsia"/>
                <w:b/>
                <w:color w:val="auto"/>
                <w:lang w:eastAsia="zh-CN"/>
              </w:rPr>
              <w:t>（有色组</w:t>
            </w:r>
            <w:r>
              <w:rPr>
                <w:rFonts w:hint="eastAsia"/>
                <w:b/>
                <w:color w:val="auto"/>
                <w:lang w:eastAsia="zh-CN"/>
              </w:rPr>
              <w:t>）</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IMF下调今年经济增长预期，美联储官员继续喊话激进加息，不过这些信息多已被市场消化，美元指数昨日继续大涨，对大宗工业品带来压力影响，原油价格高位回落。受到外围原油等品种价格回落和国内政策面打击工业品价格的影响，国内工业品期货指数昨日高位回落，对胶价带来一定的情绪抑制作用。行业方面，昨日泰国原料胶水价格继续下跌，国内海南和云南地区胶水收购价格持稳，保持在偏低水平。青岛地区天胶库存本期小幅回落，云南现货和NR期货库存缩减幅度较为明显，带动国内天胶社会库存回落，边际上对胶价带来小幅支撑。昨日天然橡胶现货价格小幅震荡，全乳胶12975元/吨，持稳；20号泰标1780美元/吨，折合人民币11342元/吨；20号泰混12900元/吨，持稳。人民币干胶市场，贸易商报盘出货活跃度增加，商家买盘有观望情绪存在，整体交投平稳；美金内盘贸易商报盘氛围维持清淡，场内交投平平。国产胶方面盘中贸易商报盘积极性较昨日略有下调，买盘维持清淡，较昨日无明显好转</w:t>
            </w:r>
          </w:p>
          <w:p>
            <w:pPr>
              <w:widowControl/>
              <w:suppressAutoHyphens w:val="0"/>
              <w:ind w:firstLine="630" w:firstLineChars="300"/>
              <w:jc w:val="left"/>
              <w:rPr>
                <w:rFonts w:hint="eastAsia" w:eastAsia="宋体"/>
                <w:color w:val="auto"/>
                <w:lang w:eastAsia="zh-CN"/>
              </w:rPr>
            </w:pPr>
            <w:r>
              <w:rPr>
                <w:rFonts w:hint="eastAsia"/>
                <w:color w:val="auto"/>
              </w:rPr>
              <w:t>技术面：昨日RU2209冲压不济回落，多头表现疲弱，胶价再度跌入低位震荡的区间，上方压力在13500-13600，下方支撑则保持在13300-13400。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操作建议：短线以轻仓波段交易为主或观望，中线多单可低仓位暂持。</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4月19日，美国石油协会（API）公布数据显示，美国至4月15日当周API原油库存减少449.6万桶，预期增加253.3万桶，前值增加775.7万桶。美国能源情报署(EIA)在其最近发布的4月份《短期能源展望(STEO)》报告中下调了其对今明两年布伦特原油现货平均价格的预测。利比亚国有国家石油公司周一宣布对其30万桶/日的El Sharara油田实施不可抗力限制，此前该油田被抗议者关闭，加剧了El Feel和较小油田的停电。JODI数据，沙特2月份原油出口从1月份的699.6万桶/日升至730.7万桶/日，为创纪录的1023.7万桶/日以来的最高水平。产量从1014.5万桶/日攀升至1022.5万桶/日。近期欧洲官员正在起草一项分阶段禁止进口俄罗斯石油计划，推动了油价上涨。尽管一些欧盟成员国高度依赖俄罗斯石油进口，本禁令恐难真正实行，但市场不免担忧引爆能源争夺战。本月早些时候，欧盟对俄罗斯的煤炭禁令采取了类似的做法，意味着围绕能源的博弈正在进一步升级。惠誉：如果布伦特原油价格平均为100美元/桶，沙特阿拉伯的石油产量平均将为1070万桶/日；如果价格为80美元/桶，产量为1110万桶/日。4月13日，EIA报告显示，除却战略储备的商业原油库存增加938.2万桶至4.218亿桶，增加2.3%；上周美国国内原油产量维持在1180万桶/日；美国上周原油出口减少151.3万桶/日至218万桶/日。IEA：中国的疫情封控打击原油需求，俄罗斯4月石油供应量将下降150万桶/日。</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国际货币基金组织下调经济增长预测，并警告通货膨胀加剧，交易商权衡利比亚供应中断，中国新冠防控对需求影响，国际油价下跌5%，美元汇率增强也打压以美元计价的欧美原油期货市场气氛。5月WTI跌5.65报102.56美元/桶，跌幅5.2%；6月布伦特跌5.91报107.25美元/桶，跌幅5.2%。</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操作思路以震荡偏空为主，关注布伦特原油震荡区间105-120美元/桶，注意止盈止损。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8D77793"/>
    <w:rsid w:val="09656767"/>
    <w:rsid w:val="099174FC"/>
    <w:rsid w:val="0A57325E"/>
    <w:rsid w:val="0A624104"/>
    <w:rsid w:val="0C12090D"/>
    <w:rsid w:val="14E22F0B"/>
    <w:rsid w:val="16714D70"/>
    <w:rsid w:val="18B11A3E"/>
    <w:rsid w:val="18B21305"/>
    <w:rsid w:val="195C02AF"/>
    <w:rsid w:val="1A8E2066"/>
    <w:rsid w:val="1C955016"/>
    <w:rsid w:val="1CAE3AF0"/>
    <w:rsid w:val="1EC70303"/>
    <w:rsid w:val="1F7E29BD"/>
    <w:rsid w:val="20970D76"/>
    <w:rsid w:val="226C1608"/>
    <w:rsid w:val="227F224C"/>
    <w:rsid w:val="23F270CF"/>
    <w:rsid w:val="2A7A4984"/>
    <w:rsid w:val="2D8D3BC9"/>
    <w:rsid w:val="321D62B5"/>
    <w:rsid w:val="341F7FC4"/>
    <w:rsid w:val="353D5E3C"/>
    <w:rsid w:val="358935BB"/>
    <w:rsid w:val="36AB3BBE"/>
    <w:rsid w:val="384D33C8"/>
    <w:rsid w:val="406C6812"/>
    <w:rsid w:val="41A00C7B"/>
    <w:rsid w:val="424E1F35"/>
    <w:rsid w:val="426E1857"/>
    <w:rsid w:val="430419B8"/>
    <w:rsid w:val="4A29450B"/>
    <w:rsid w:val="4B25247A"/>
    <w:rsid w:val="4CDB5F58"/>
    <w:rsid w:val="4D9E7DC0"/>
    <w:rsid w:val="4DA0349C"/>
    <w:rsid w:val="4FCE0CA2"/>
    <w:rsid w:val="5132643B"/>
    <w:rsid w:val="53B809A0"/>
    <w:rsid w:val="578723B2"/>
    <w:rsid w:val="5B922A05"/>
    <w:rsid w:val="5CDE1F17"/>
    <w:rsid w:val="5FAE7A14"/>
    <w:rsid w:val="60593F12"/>
    <w:rsid w:val="66714647"/>
    <w:rsid w:val="66CC74E1"/>
    <w:rsid w:val="73C8743F"/>
    <w:rsid w:val="7A3D7229"/>
    <w:rsid w:val="7A857A1E"/>
    <w:rsid w:val="7A8C2DBA"/>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2</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2022-04-20T00:43:42Z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