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color w:val="auto"/>
          <w:kern w:val="0"/>
          <w:szCs w:val="21"/>
          <w:lang w:eastAsia="zh-CN"/>
        </w:rPr>
      </w:pPr>
      <w:r>
        <w:rPr>
          <w:rFonts w:hint="eastAsia" w:ascii="宋体" w:hAnsi="宋体" w:cs="宋体"/>
          <w:color w:val="auto"/>
          <w:kern w:val="0"/>
          <w:szCs w:val="21"/>
          <w:lang w:eastAsia="zh-CN"/>
        </w:rPr>
        <w:t>道通早报</w:t>
      </w:r>
    </w:p>
    <w:p>
      <w:pPr>
        <w:widowControl/>
        <w:jc w:val="right"/>
        <w:rPr>
          <w:rFonts w:ascii="宋体" w:hAnsi="宋体" w:cs="宋体"/>
          <w:color w:val="auto"/>
          <w:kern w:val="0"/>
          <w:szCs w:val="21"/>
          <w:lang w:eastAsia="zh-CN"/>
        </w:rPr>
      </w:pPr>
      <w:r>
        <w:rPr>
          <w:rFonts w:hint="eastAsia" w:ascii="宋体" w:hAnsi="宋体" w:cs="宋体"/>
          <w:color w:val="auto"/>
          <w:kern w:val="0"/>
          <w:szCs w:val="21"/>
          <w:lang w:eastAsia="zh-CN"/>
        </w:rPr>
        <w:t>日期：202</w:t>
      </w: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年</w:t>
      </w:r>
      <w:r>
        <w:rPr>
          <w:rFonts w:hint="eastAsia" w:ascii="宋体" w:hAnsi="宋体" w:cs="宋体"/>
          <w:color w:val="auto"/>
          <w:kern w:val="0"/>
          <w:szCs w:val="21"/>
          <w:lang w:val="en-US" w:eastAsia="zh-CN"/>
        </w:rPr>
        <w:t>4月18</w:t>
      </w:r>
      <w:r>
        <w:rPr>
          <w:rFonts w:hint="eastAsia" w:ascii="宋体" w:hAnsi="宋体" w:cs="宋体"/>
          <w:color w:val="auto"/>
          <w:kern w:val="0"/>
          <w:szCs w:val="21"/>
          <w:lang w:eastAsia="zh-CN"/>
        </w:rPr>
        <w:t>日</w:t>
      </w: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【经济要闻】</w:t>
      </w:r>
      <w:bookmarkStart w:id="0" w:name="_GoBack"/>
      <w:bookmarkEnd w:id="0"/>
    </w:p>
    <w:p>
      <w:pPr>
        <w:rPr>
          <w:color w:val="auto"/>
        </w:rPr>
      </w:pPr>
    </w:p>
    <w:p>
      <w:pPr>
        <w:jc w:val="left"/>
        <w:rPr>
          <w:color w:val="auto"/>
        </w:rPr>
      </w:pPr>
    </w:p>
    <w:p>
      <w:pPr>
        <w:jc w:val="left"/>
        <w:rPr>
          <w:rFonts w:hint="eastAsia"/>
          <w:color w:val="auto"/>
        </w:rPr>
      </w:pPr>
      <w:r>
        <w:rPr>
          <w:rFonts w:hint="eastAsia"/>
          <w:color w:val="auto"/>
        </w:rPr>
        <w:t>【国际宏观基本面信息】</w:t>
      </w:r>
    </w:p>
    <w:p>
      <w:pPr>
        <w:jc w:val="left"/>
        <w:rPr>
          <w:rFonts w:hint="eastAsia"/>
          <w:color w:val="auto"/>
        </w:rPr>
      </w:pPr>
      <w:r>
        <w:rPr>
          <w:rFonts w:hint="eastAsia"/>
          <w:color w:val="auto"/>
        </w:rPr>
        <w:t>1  美国财政部公布的国际资本流动报告TIC报告，2月份净流入美国国债市场的海外投资者资金量连续第四个月上升，金额为753亿美元，较1月743.6亿美元的净流入增加1.2%。其中，2月海外私人投资者购入919亿美元的美国国债，央行等海外官方机构则卖出162亿美元。其中，大陆2月持仓则环比下降53亿美元，至1.05万亿美元的五个月低点。</w:t>
      </w:r>
    </w:p>
    <w:p>
      <w:pPr>
        <w:jc w:val="left"/>
        <w:rPr>
          <w:rFonts w:hint="eastAsia"/>
          <w:color w:val="auto"/>
        </w:rPr>
      </w:pPr>
    </w:p>
    <w:p>
      <w:pPr>
        <w:jc w:val="left"/>
        <w:rPr>
          <w:rFonts w:hint="eastAsia"/>
          <w:color w:val="auto"/>
        </w:rPr>
      </w:pPr>
      <w:r>
        <w:rPr>
          <w:rFonts w:hint="eastAsia"/>
          <w:color w:val="auto"/>
        </w:rPr>
        <w:t>【国内宏观基本面信息】</w:t>
      </w:r>
    </w:p>
    <w:p>
      <w:pPr>
        <w:jc w:val="left"/>
        <w:rPr>
          <w:rFonts w:hint="eastAsia"/>
          <w:color w:val="auto"/>
        </w:rPr>
      </w:pPr>
      <w:r>
        <w:rPr>
          <w:rFonts w:hint="eastAsia"/>
          <w:color w:val="auto"/>
        </w:rPr>
        <w:t>1  人民银行官网，为“支持实体经济发展，促进综合融资成本稳中有降”，决定于4月25日下调金融机构存款准备金率0.25个百分点（不含已执行5%存款准备金率的金融机构）；为加大对小微企业和三农的支持力度，对没有跨省经营的城商行和存款准备金率高于5%的农商行额外多降0.25个百分点。</w:t>
      </w:r>
    </w:p>
    <w:p>
      <w:pPr>
        <w:jc w:val="left"/>
        <w:rPr>
          <w:rFonts w:hint="eastAsia"/>
          <w:color w:val="auto"/>
        </w:rPr>
      </w:pPr>
      <w:r>
        <w:rPr>
          <w:rFonts w:hint="eastAsia"/>
          <w:color w:val="auto"/>
        </w:rPr>
        <w:t>2  工信部、交通部、央行共同发声，全力保障物流畅通和产业链供应链稳定。</w:t>
      </w:r>
    </w:p>
    <w:p>
      <w:pPr>
        <w:jc w:val="left"/>
        <w:rPr>
          <w:rFonts w:hint="eastAsia"/>
          <w:color w:val="auto"/>
        </w:rPr>
      </w:pPr>
      <w:r>
        <w:rPr>
          <w:rFonts w:hint="eastAsia"/>
          <w:color w:val="auto"/>
        </w:rPr>
        <w:t>3  证监会发布《上市公司投资者关系管理工作指引》，沟通内容中增加ESG信息，明确监管部门和自律组织可评估投资者关系管理状况。</w:t>
      </w:r>
    </w:p>
    <w:p>
      <w:pPr>
        <w:jc w:val="left"/>
        <w:rPr>
          <w:rFonts w:hint="eastAsia"/>
          <w:color w:val="auto"/>
        </w:rPr>
      </w:pPr>
      <w:r>
        <w:rPr>
          <w:rFonts w:hint="eastAsia"/>
          <w:color w:val="auto"/>
        </w:rPr>
        <w:t>4  银保监会统计信息与风险监测部负责人刘忠瑞表示，银保监会将积极配合人民银行抓紧研究完善相关法规和机制安排，尽快推动设立金融稳定保障基金，为重大风险处置积蓄好后备资金。</w:t>
      </w:r>
    </w:p>
    <w:p>
      <w:pPr>
        <w:jc w:val="left"/>
        <w:rPr>
          <w:rFonts w:hint="eastAsia"/>
          <w:color w:val="auto"/>
        </w:rPr>
      </w:pPr>
      <w:r>
        <w:rPr>
          <w:rFonts w:hint="eastAsia"/>
          <w:color w:val="auto"/>
        </w:rPr>
        <w:t>5  3月70城房价：环比下降城市个数减少，一线城市房价环比涨幅回落，二三线城市环比持平或降幅收窄。</w:t>
      </w:r>
    </w:p>
    <w:p>
      <w:pPr>
        <w:jc w:val="left"/>
        <w:rPr>
          <w:rFonts w:hint="eastAsia"/>
          <w:color w:val="auto"/>
        </w:rPr>
      </w:pPr>
    </w:p>
    <w:p>
      <w:pPr>
        <w:jc w:val="left"/>
        <w:rPr>
          <w:rFonts w:hint="eastAsia"/>
          <w:color w:val="auto"/>
        </w:rPr>
      </w:pPr>
      <w:r>
        <w:rPr>
          <w:rFonts w:hint="eastAsia"/>
          <w:color w:val="auto"/>
        </w:rPr>
        <w:t>【当日重要经济数据】</w:t>
      </w:r>
    </w:p>
    <w:p>
      <w:pPr>
        <w:jc w:val="left"/>
        <w:rPr>
          <w:rFonts w:hint="eastAsia"/>
          <w:color w:val="auto"/>
        </w:rPr>
      </w:pPr>
      <w:r>
        <w:rPr>
          <w:rFonts w:hint="eastAsia"/>
          <w:color w:val="auto"/>
        </w:rPr>
        <w:t>欧洲各国复活节休市</w:t>
      </w:r>
    </w:p>
    <w:p>
      <w:pPr>
        <w:jc w:val="left"/>
        <w:rPr>
          <w:rFonts w:hint="eastAsia"/>
          <w:color w:val="auto"/>
        </w:rPr>
      </w:pPr>
    </w:p>
    <w:p>
      <w:pPr>
        <w:jc w:val="left"/>
        <w:rPr>
          <w:rFonts w:hint="eastAsia"/>
          <w:color w:val="auto"/>
        </w:rPr>
      </w:pPr>
      <w:r>
        <w:rPr>
          <w:rFonts w:hint="eastAsia"/>
          <w:color w:val="auto"/>
        </w:rPr>
        <w:t>10:00</w:t>
      </w:r>
      <w:r>
        <w:rPr>
          <w:rFonts w:hint="eastAsia"/>
          <w:color w:val="auto"/>
        </w:rPr>
        <w:tab/>
      </w:r>
      <w:r>
        <w:rPr>
          <w:rFonts w:hint="eastAsia"/>
          <w:color w:val="auto"/>
        </w:rPr>
        <w:t>中国第一季度GDP年率-单季度(%)</w:t>
      </w:r>
      <w:r>
        <w:rPr>
          <w:rFonts w:hint="eastAsia"/>
          <w:color w:val="auto"/>
        </w:rPr>
        <w:tab/>
      </w:r>
      <w:r>
        <w:rPr>
          <w:rFonts w:hint="eastAsia"/>
          <w:color w:val="auto"/>
        </w:rPr>
        <w:t>4</w:t>
      </w:r>
      <w:r>
        <w:rPr>
          <w:rFonts w:hint="eastAsia"/>
          <w:color w:val="auto"/>
        </w:rPr>
        <w:tab/>
      </w:r>
      <w:r>
        <w:rPr>
          <w:rFonts w:hint="eastAsia"/>
          <w:color w:val="auto"/>
        </w:rPr>
        <w:t>4.3</w:t>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中国第一季度GDP总量(亿元)</w:t>
      </w:r>
      <w:r>
        <w:rPr>
          <w:rFonts w:hint="eastAsia"/>
          <w:color w:val="auto"/>
        </w:rPr>
        <w:tab/>
      </w:r>
      <w:r>
        <w:rPr>
          <w:rFonts w:hint="eastAsia"/>
          <w:color w:val="auto"/>
        </w:rPr>
        <w:t>324237</w:t>
      </w:r>
      <w:r>
        <w:rPr>
          <w:rFonts w:hint="eastAsia"/>
          <w:color w:val="auto"/>
        </w:rPr>
        <w:tab/>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中国第一季度GDP季率(%)</w:t>
      </w:r>
      <w:r>
        <w:rPr>
          <w:rFonts w:hint="eastAsia"/>
          <w:color w:val="auto"/>
        </w:rPr>
        <w:tab/>
      </w:r>
      <w:r>
        <w:rPr>
          <w:rFonts w:hint="eastAsia"/>
          <w:color w:val="auto"/>
        </w:rPr>
        <w:t>1.6</w:t>
      </w:r>
      <w:r>
        <w:rPr>
          <w:rFonts w:hint="eastAsia"/>
          <w:color w:val="auto"/>
        </w:rPr>
        <w:tab/>
      </w:r>
      <w:r>
        <w:rPr>
          <w:rFonts w:hint="eastAsia"/>
          <w:color w:val="auto"/>
        </w:rPr>
        <w:t>0.8</w:t>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10:00</w:t>
      </w:r>
      <w:r>
        <w:rPr>
          <w:rFonts w:hint="eastAsia"/>
          <w:color w:val="auto"/>
        </w:rPr>
        <w:tab/>
      </w:r>
      <w:r>
        <w:rPr>
          <w:rFonts w:hint="eastAsia"/>
          <w:color w:val="auto"/>
        </w:rPr>
        <w:t>中国3月调查失业率(%)</w:t>
      </w:r>
      <w:r>
        <w:rPr>
          <w:rFonts w:hint="eastAsia"/>
          <w:color w:val="auto"/>
        </w:rPr>
        <w:tab/>
      </w:r>
      <w:r>
        <w:rPr>
          <w:rFonts w:hint="eastAsia"/>
          <w:color w:val="auto"/>
        </w:rPr>
        <w:t>5.5</w:t>
      </w:r>
      <w:r>
        <w:rPr>
          <w:rFonts w:hint="eastAsia"/>
          <w:color w:val="auto"/>
        </w:rPr>
        <w:tab/>
      </w:r>
      <w:r>
        <w:rPr>
          <w:rFonts w:hint="eastAsia"/>
          <w:color w:val="auto"/>
        </w:rPr>
        <w:t>5.4</w:t>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10:00</w:t>
      </w:r>
      <w:r>
        <w:rPr>
          <w:rFonts w:hint="eastAsia"/>
          <w:color w:val="auto"/>
        </w:rPr>
        <w:tab/>
      </w:r>
      <w:r>
        <w:rPr>
          <w:rFonts w:hint="eastAsia"/>
          <w:color w:val="auto"/>
        </w:rPr>
        <w:t>中国1-3月城镇固定资产投资年率-YTD(%)</w:t>
      </w:r>
      <w:r>
        <w:rPr>
          <w:rFonts w:hint="eastAsia"/>
          <w:color w:val="auto"/>
        </w:rPr>
        <w:tab/>
      </w:r>
      <w:r>
        <w:rPr>
          <w:rFonts w:hint="eastAsia"/>
          <w:color w:val="auto"/>
        </w:rPr>
        <w:t>12.2</w:t>
      </w:r>
      <w:r>
        <w:rPr>
          <w:rFonts w:hint="eastAsia"/>
          <w:color w:val="auto"/>
        </w:rPr>
        <w:tab/>
      </w:r>
      <w:r>
        <w:rPr>
          <w:rFonts w:hint="eastAsia"/>
          <w:color w:val="auto"/>
        </w:rPr>
        <w:t>8.4</w:t>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中国3月城镇固定资产投资月率(%)</w:t>
      </w:r>
      <w:r>
        <w:rPr>
          <w:rFonts w:hint="eastAsia"/>
          <w:color w:val="auto"/>
        </w:rPr>
        <w:tab/>
      </w:r>
      <w:r>
        <w:rPr>
          <w:rFonts w:hint="eastAsia"/>
          <w:color w:val="auto"/>
        </w:rPr>
        <w:t>0.66</w:t>
      </w:r>
      <w:r>
        <w:rPr>
          <w:rFonts w:hint="eastAsia"/>
          <w:color w:val="auto"/>
        </w:rPr>
        <w:tab/>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10:00</w:t>
      </w:r>
      <w:r>
        <w:rPr>
          <w:rFonts w:hint="eastAsia"/>
          <w:color w:val="auto"/>
        </w:rPr>
        <w:tab/>
      </w:r>
      <w:r>
        <w:rPr>
          <w:rFonts w:hint="eastAsia"/>
          <w:color w:val="auto"/>
        </w:rPr>
        <w:t>中国第一季度GDP年率-YTD(%)</w:t>
      </w:r>
      <w:r>
        <w:rPr>
          <w:rFonts w:hint="eastAsia"/>
          <w:color w:val="auto"/>
        </w:rPr>
        <w:tab/>
      </w:r>
      <w:r>
        <w:rPr>
          <w:rFonts w:hint="eastAsia"/>
          <w:color w:val="auto"/>
        </w:rPr>
        <w:t>8.1</w:t>
      </w:r>
      <w:r>
        <w:rPr>
          <w:rFonts w:hint="eastAsia"/>
          <w:color w:val="auto"/>
        </w:rPr>
        <w:tab/>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10:00</w:t>
      </w:r>
      <w:r>
        <w:rPr>
          <w:rFonts w:hint="eastAsia"/>
          <w:color w:val="auto"/>
        </w:rPr>
        <w:tab/>
      </w:r>
      <w:r>
        <w:rPr>
          <w:rFonts w:hint="eastAsia"/>
          <w:color w:val="auto"/>
        </w:rPr>
        <w:t>国1-3月规模以上工业增加值年率-YTD(%)</w:t>
      </w:r>
      <w:r>
        <w:rPr>
          <w:rFonts w:hint="eastAsia"/>
          <w:color w:val="auto"/>
        </w:rPr>
        <w:tab/>
      </w:r>
      <w:r>
        <w:rPr>
          <w:rFonts w:hint="eastAsia"/>
          <w:color w:val="auto"/>
        </w:rPr>
        <w:t>7.5</w:t>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中国3月规模以上工业增加值月率(%)</w:t>
      </w:r>
      <w:r>
        <w:rPr>
          <w:rFonts w:hint="eastAsia"/>
          <w:color w:val="auto"/>
        </w:rPr>
        <w:tab/>
      </w:r>
      <w:r>
        <w:rPr>
          <w:rFonts w:hint="eastAsia"/>
          <w:color w:val="auto"/>
        </w:rPr>
        <w:t>0.34</w:t>
      </w:r>
      <w:r>
        <w:rPr>
          <w:rFonts w:hint="eastAsia"/>
          <w:color w:val="auto"/>
        </w:rPr>
        <w:tab/>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中国3月规模以上工业增加值年率(%)</w:t>
      </w:r>
      <w:r>
        <w:rPr>
          <w:rFonts w:hint="eastAsia"/>
          <w:color w:val="auto"/>
        </w:rPr>
        <w:tab/>
      </w:r>
      <w:r>
        <w:rPr>
          <w:rFonts w:hint="eastAsia"/>
          <w:color w:val="auto"/>
        </w:rPr>
        <w:t>7.5</w:t>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10:00</w:t>
      </w:r>
      <w:r>
        <w:rPr>
          <w:rFonts w:hint="eastAsia"/>
          <w:color w:val="auto"/>
        </w:rPr>
        <w:tab/>
      </w:r>
      <w:r>
        <w:rPr>
          <w:rFonts w:hint="eastAsia"/>
          <w:color w:val="auto"/>
        </w:rPr>
        <w:t>中国3月社会消费品零售总额年率(%)</w:t>
      </w:r>
      <w:r>
        <w:rPr>
          <w:rFonts w:hint="eastAsia"/>
          <w:color w:val="auto"/>
        </w:rPr>
        <w:tab/>
      </w:r>
      <w:r>
        <w:rPr>
          <w:rFonts w:hint="eastAsia"/>
          <w:color w:val="auto"/>
        </w:rPr>
        <w:t>1.7</w:t>
      </w:r>
      <w:r>
        <w:rPr>
          <w:rFonts w:hint="eastAsia"/>
          <w:color w:val="auto"/>
        </w:rPr>
        <w:tab/>
      </w:r>
      <w:r>
        <w:rPr>
          <w:rFonts w:hint="eastAsia"/>
          <w:color w:val="auto"/>
        </w:rPr>
        <w:t>-3</w:t>
      </w:r>
      <w:r>
        <w:rPr>
          <w:rFonts w:hint="eastAsia"/>
          <w:color w:val="auto"/>
        </w:rPr>
        <w:tab/>
      </w:r>
      <w:r>
        <w:rPr>
          <w:rFonts w:hint="eastAsia"/>
          <w:color w:val="auto"/>
        </w:rPr>
        <w:tab/>
      </w:r>
    </w:p>
    <w:p>
      <w:pPr>
        <w:jc w:val="left"/>
        <w:rPr>
          <w:rFonts w:hint="eastAsia"/>
          <w:color w:val="auto"/>
        </w:rPr>
      </w:pPr>
      <w:r>
        <w:rPr>
          <w:rFonts w:hint="eastAsia"/>
          <w:color w:val="auto"/>
        </w:rPr>
        <w:t>中国3月社会消费品零售总额月率(%)</w:t>
      </w:r>
      <w:r>
        <w:rPr>
          <w:rFonts w:hint="eastAsia"/>
          <w:color w:val="auto"/>
        </w:rPr>
        <w:tab/>
      </w:r>
      <w:r>
        <w:rPr>
          <w:rFonts w:hint="eastAsia"/>
          <w:color w:val="auto"/>
        </w:rPr>
        <w:t>0.9</w:t>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中国1-3月社会消费品零售总额年率-YTD(%)</w:t>
      </w:r>
      <w:r>
        <w:rPr>
          <w:rFonts w:hint="eastAsia"/>
          <w:color w:val="auto"/>
        </w:rPr>
        <w:tab/>
      </w:r>
      <w:r>
        <w:rPr>
          <w:rFonts w:hint="eastAsia"/>
          <w:color w:val="auto"/>
        </w:rPr>
        <w:t>6.7</w:t>
      </w:r>
    </w:p>
    <w:p>
      <w:pPr>
        <w:jc w:val="left"/>
        <w:rPr>
          <w:rFonts w:hint="eastAsia"/>
          <w:color w:val="auto"/>
        </w:rPr>
      </w:pPr>
      <w:r>
        <w:rPr>
          <w:rFonts w:hint="eastAsia"/>
          <w:color w:val="auto"/>
        </w:rPr>
        <w:t>22:00</w:t>
      </w:r>
      <w:r>
        <w:rPr>
          <w:rFonts w:hint="eastAsia"/>
          <w:color w:val="auto"/>
        </w:rPr>
        <w:tab/>
      </w:r>
      <w:r>
        <w:rPr>
          <w:rFonts w:hint="eastAsia"/>
          <w:color w:val="auto"/>
        </w:rPr>
        <w:t>美国4月NAHB房产市场指数</w:t>
      </w:r>
      <w:r>
        <w:rPr>
          <w:rFonts w:hint="eastAsia"/>
          <w:color w:val="auto"/>
        </w:rPr>
        <w:tab/>
      </w:r>
      <w:r>
        <w:rPr>
          <w:rFonts w:hint="eastAsia"/>
          <w:color w:val="auto"/>
        </w:rPr>
        <w:t>79</w:t>
      </w:r>
      <w:r>
        <w:rPr>
          <w:rFonts w:hint="eastAsia"/>
          <w:color w:val="auto"/>
        </w:rPr>
        <w:tab/>
      </w:r>
      <w:r>
        <w:rPr>
          <w:rFonts w:hint="eastAsia"/>
          <w:color w:val="auto"/>
        </w:rPr>
        <w:t>77</w:t>
      </w:r>
    </w:p>
    <w:p>
      <w:pPr>
        <w:jc w:val="left"/>
        <w:rPr>
          <w:rFonts w:hint="eastAsia"/>
          <w:color w:val="auto"/>
        </w:rPr>
      </w:pPr>
    </w:p>
    <w:p>
      <w:pPr>
        <w:jc w:val="left"/>
        <w:rPr>
          <w:rFonts w:hint="eastAsia"/>
          <w:color w:val="auto"/>
        </w:rPr>
      </w:pPr>
      <w:r>
        <w:rPr>
          <w:rFonts w:hint="eastAsia"/>
          <w:color w:val="auto"/>
        </w:rPr>
        <w:t>【证券指数思路】</w:t>
      </w:r>
    </w:p>
    <w:p>
      <w:pPr>
        <w:jc w:val="left"/>
        <w:rPr>
          <w:rFonts w:hint="eastAsia"/>
          <w:color w:val="auto"/>
        </w:rPr>
      </w:pPr>
      <w:r>
        <w:rPr>
          <w:rFonts w:hint="eastAsia"/>
          <w:color w:val="auto"/>
        </w:rPr>
        <w:t xml:space="preserve">     沪指收报3211.24点，跌0.45%，成交额4135亿元。深成指收报11648.57点，跌0.56%，成交额4977亿元。创业板指收报2460.36点，跌0.24%，成交额1632亿元。</w:t>
      </w:r>
    </w:p>
    <w:p>
      <w:pPr>
        <w:jc w:val="left"/>
        <w:rPr>
          <w:rFonts w:hint="eastAsia"/>
          <w:color w:val="auto"/>
        </w:rPr>
      </w:pPr>
      <w:r>
        <w:rPr>
          <w:rFonts w:hint="eastAsia"/>
          <w:color w:val="auto"/>
        </w:rPr>
        <w:t xml:space="preserve">  市场炒作降准降息，当前经济发展面临三重压力和总需求不足情况下，采取适时降准的措施，有利于稳定市场预期，增强市场主体信心，改善和扩大总需求，为稳定宏观经济大盘、保持经济运行在合理区间创造了积极条件。但我们需要明确的是正是因为3月中旬至今的连续政策利好，才能使得市场稳定运行在底部区间，否则在外围市场、国内疫情的双重影响下，没有政策支撑市场可能会更差。所以关注方向上，还是在“稳增长”，消费、出口和投资，在市场底未形成之前，节奏很重要，整体控制好仓位，只宜轻仓短线。</w:t>
      </w:r>
    </w:p>
    <w:p>
      <w:pPr>
        <w:jc w:val="left"/>
        <w:rPr>
          <w:rFonts w:hint="eastAsia"/>
          <w:color w:val="auto"/>
          <w:lang w:eastAsia="zh-CN"/>
        </w:rPr>
      </w:pPr>
    </w:p>
    <w:p>
      <w:pPr>
        <w:jc w:val="left"/>
        <w:rPr>
          <w:rFonts w:hint="eastAsia"/>
          <w:color w:val="auto"/>
          <w:lang w:eastAsia="zh-CN"/>
        </w:rPr>
      </w:pPr>
    </w:p>
    <w:p>
      <w:pPr>
        <w:jc w:val="left"/>
        <w:rPr>
          <w:rFonts w:hint="eastAsia"/>
          <w:color w:val="auto"/>
          <w:lang w:eastAsia="zh-CN"/>
        </w:rPr>
      </w:pPr>
    </w:p>
    <w:p>
      <w:pPr>
        <w:jc w:val="left"/>
        <w:rPr>
          <w:rFonts w:hint="eastAsia"/>
          <w:color w:val="auto"/>
          <w:lang w:eastAsia="zh-CN"/>
        </w:rPr>
      </w:pPr>
    </w:p>
    <w:p>
      <w:pPr>
        <w:jc w:val="left"/>
        <w:rPr>
          <w:rFonts w:hint="eastAsia"/>
          <w:color w:val="auto"/>
          <w:lang w:val="en-US"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【分品种动态】</w:t>
      </w:r>
    </w:p>
    <w:p>
      <w:pPr>
        <w:jc w:val="both"/>
        <w:rPr>
          <w:rFonts w:ascii="黑体" w:eastAsia="黑体" w:cs="宋体"/>
          <w:color w:val="auto"/>
          <w:szCs w:val="21"/>
        </w:rPr>
      </w:pPr>
    </w:p>
    <w:p>
      <w:pPr>
        <w:jc w:val="center"/>
        <w:rPr>
          <w:rFonts w:ascii="黑体" w:eastAsia="黑体" w:cs="宋体"/>
          <w:color w:val="auto"/>
          <w:szCs w:val="21"/>
        </w:rPr>
      </w:pPr>
    </w:p>
    <w:p>
      <w:pPr>
        <w:jc w:val="center"/>
        <w:rPr>
          <w:rFonts w:ascii="黑体" w:eastAsia="黑体" w:cs="宋体"/>
          <w:color w:val="auto"/>
          <w:szCs w:val="21"/>
        </w:rPr>
      </w:pPr>
    </w:p>
    <w:p>
      <w:pPr>
        <w:rPr>
          <w:rFonts w:ascii="黑体" w:eastAsia="黑体" w:cs="宋体"/>
          <w:color w:val="auto"/>
          <w:szCs w:val="21"/>
        </w:rPr>
      </w:pPr>
    </w:p>
    <w:p>
      <w:pPr>
        <w:widowControl/>
        <w:jc w:val="left"/>
        <w:rPr>
          <w:color w:val="auto"/>
          <w:szCs w:val="21"/>
        </w:rPr>
      </w:pPr>
      <w:r>
        <w:rPr>
          <w:rFonts w:hint="eastAsia" w:ascii="黑体" w:eastAsia="黑体" w:cs="黑体"/>
          <w:color w:val="auto"/>
          <w:szCs w:val="21"/>
        </w:rPr>
        <w:t>◆农产品</w:t>
      </w:r>
    </w:p>
    <w:tbl>
      <w:tblPr>
        <w:tblStyle w:val="4"/>
        <w:tblW w:w="9004" w:type="dxa"/>
        <w:tblInd w:w="-15" w:type="dxa"/>
        <w:tblLayout w:type="fixed"/>
        <w:tblCellMar>
          <w:top w:w="0" w:type="dxa"/>
          <w:left w:w="108" w:type="dxa"/>
          <w:bottom w:w="0" w:type="dxa"/>
          <w:right w:w="108" w:type="dxa"/>
        </w:tblCellMar>
      </w:tblPr>
      <w:tblGrid>
        <w:gridCol w:w="549"/>
        <w:gridCol w:w="6405"/>
        <w:gridCol w:w="2050"/>
      </w:tblGrid>
      <w:tr>
        <w:tblPrEx>
          <w:tblCellMar>
            <w:top w:w="0" w:type="dxa"/>
            <w:left w:w="108" w:type="dxa"/>
            <w:bottom w:w="0" w:type="dxa"/>
            <w:right w:w="108" w:type="dxa"/>
          </w:tblCellMar>
        </w:tblPrEx>
        <w:trPr>
          <w:trHeight w:val="507"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olor w:val="auto"/>
                <w:szCs w:val="21"/>
              </w:rPr>
            </w:pPr>
          </w:p>
        </w:tc>
        <w:tc>
          <w:tcPr>
            <w:tcW w:w="6405" w:type="dxa"/>
            <w:tcBorders>
              <w:top w:val="single" w:color="000000" w:sz="4" w:space="0"/>
              <w:left w:val="single" w:color="000000" w:sz="4" w:space="0"/>
              <w:bottom w:val="single" w:color="000000" w:sz="4" w:space="0"/>
              <w:right w:val="nil"/>
            </w:tcBorders>
            <w:vAlign w:val="center"/>
          </w:tcPr>
          <w:p>
            <w:pPr>
              <w:widowControl/>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s="宋体"/>
                <w:b/>
                <w:color w:val="auto"/>
                <w:kern w:val="0"/>
                <w:szCs w:val="21"/>
                <w:lang w:eastAsia="zh-CN"/>
              </w:rPr>
            </w:pPr>
            <w:r>
              <w:rPr>
                <w:rFonts w:hint="eastAsia" w:ascii="宋体" w:hAnsi="宋体" w:cs="宋体"/>
                <w:b/>
                <w:color w:val="auto"/>
                <w:kern w:val="0"/>
                <w:szCs w:val="21"/>
                <w:lang w:eastAsia="zh-CN"/>
              </w:rPr>
              <w:t>豆粕</w:t>
            </w:r>
          </w:p>
        </w:tc>
        <w:tc>
          <w:tcPr>
            <w:tcW w:w="6405" w:type="dxa"/>
            <w:tcBorders>
              <w:top w:val="single" w:color="000000" w:sz="4" w:space="0"/>
              <w:left w:val="single" w:color="000000" w:sz="4" w:space="0"/>
              <w:bottom w:val="single" w:color="000000" w:sz="4" w:space="0"/>
              <w:right w:val="nil"/>
            </w:tcBorders>
          </w:tcPr>
          <w:p>
            <w:pPr>
              <w:ind w:firstLine="840" w:firstLineChars="400"/>
              <w:rPr>
                <w:rFonts w:hint="eastAsia" w:eastAsia="宋体"/>
                <w:color w:val="auto"/>
                <w:lang w:val="en-US" w:eastAsia="zh-CN"/>
              </w:rPr>
            </w:pPr>
            <w:r>
              <w:rPr>
                <w:rFonts w:hint="eastAsia"/>
                <w:color w:val="auto"/>
              </w:rPr>
              <w:t>隔夜外围市场因耶稣受难日假期而休市。盘前美元保持强势；人民币离岸价夜盘收升于6.380。美经济数据方面初请失业金人数达18.5万，超出预期范围；美三月零售销售数据增长。美原油盘前保持高位，对供应端的担忧仍支撑市场。美谷物市场休市。大连盘独自展开夜盘。9月油粕比收涨至2.79；粕5－9逆差略缩至114点。粕9延续在3900－3950的区间波动。消息面国储大豆拍卖，但大多流拍，反映现货需求端偏弱。</w:t>
            </w:r>
          </w:p>
        </w:tc>
        <w:tc>
          <w:tcPr>
            <w:tcW w:w="2050" w:type="dxa"/>
            <w:tcBorders>
              <w:top w:val="single" w:color="000000" w:sz="4" w:space="0"/>
              <w:left w:val="single" w:color="000000" w:sz="4" w:space="0"/>
              <w:bottom w:val="single" w:color="000000" w:sz="4" w:space="0"/>
              <w:right w:val="single" w:color="000000" w:sz="4" w:space="0"/>
            </w:tcBorders>
          </w:tcPr>
          <w:p>
            <w:pPr>
              <w:widowControl/>
              <w:suppressAutoHyphens w:val="0"/>
              <w:jc w:val="left"/>
              <w:rPr>
                <w:rFonts w:hint="eastAsia"/>
                <w:b/>
                <w:color w:val="auto"/>
                <w:lang w:eastAsia="zh-CN"/>
              </w:rPr>
            </w:pPr>
            <w:r>
              <w:rPr>
                <w:rFonts w:hint="eastAsia"/>
                <w:b/>
                <w:color w:val="auto"/>
                <w:lang w:eastAsia="zh-CN"/>
              </w:rPr>
              <w:t>下周复活节后宜关注外围动态，看有否打破平衡的驱动因素出现。　　</w:t>
            </w:r>
          </w:p>
          <w:p>
            <w:pPr>
              <w:widowControl/>
              <w:suppressAutoHyphens w:val="0"/>
              <w:jc w:val="left"/>
              <w:rPr>
                <w:rFonts w:hint="eastAsia"/>
                <w:b/>
                <w:color w:val="auto"/>
                <w:lang w:eastAsia="zh-CN"/>
              </w:rPr>
            </w:pPr>
            <w:r>
              <w:rPr>
                <w:rFonts w:hint="eastAsia"/>
                <w:b/>
                <w:color w:val="auto"/>
                <w:lang w:eastAsia="zh-CN"/>
              </w:rPr>
              <w:t>　　</w:t>
            </w:r>
          </w:p>
          <w:p>
            <w:pPr>
              <w:widowControl/>
              <w:suppressAutoHyphens w:val="0"/>
              <w:jc w:val="left"/>
              <w:rPr>
                <w:b/>
                <w:color w:val="auto"/>
                <w:lang w:eastAsia="zh-CN"/>
              </w:rPr>
            </w:pPr>
            <w:r>
              <w:rPr>
                <w:rFonts w:hint="eastAsia"/>
                <w:b/>
                <w:color w:val="auto"/>
                <w:lang w:eastAsia="zh-CN"/>
              </w:rPr>
              <w:t>（</w:t>
            </w:r>
            <w:r>
              <w:rPr>
                <w:rFonts w:hint="eastAsia"/>
                <w:b/>
                <w:color w:val="auto"/>
                <w:lang w:eastAsia="zh-CN"/>
              </w:rPr>
              <w:t>农产品部）</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vAlign w:val="top"/>
          </w:tcPr>
          <w:p>
            <w:pPr>
              <w:widowControl/>
              <w:snapToGrid w:val="0"/>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棉花</w:t>
            </w:r>
          </w:p>
        </w:tc>
        <w:tc>
          <w:tcPr>
            <w:tcW w:w="6405" w:type="dxa"/>
            <w:tcBorders>
              <w:top w:val="single" w:color="000000" w:sz="4" w:space="0"/>
              <w:left w:val="single" w:color="000000" w:sz="4" w:space="0"/>
              <w:bottom w:val="single" w:color="000000" w:sz="4" w:space="0"/>
              <w:right w:val="nil"/>
            </w:tcBorders>
            <w:vAlign w:val="top"/>
          </w:tcPr>
          <w:p>
            <w:pPr>
              <w:ind w:firstLine="840" w:firstLineChars="400"/>
              <w:rPr>
                <w:rFonts w:hint="eastAsia"/>
                <w:color w:val="auto"/>
              </w:rPr>
            </w:pPr>
            <w:r>
              <w:rPr>
                <w:rFonts w:hint="eastAsia"/>
                <w:color w:val="auto"/>
              </w:rPr>
              <w:t>美棉强势，7月合约最新价格140美分附近。截止4月8日，美棉未点价销售合约量14.5万张，环比减少764张，其中7月合约未点价合约5.8万张，环比增加3870张。</w:t>
            </w:r>
          </w:p>
          <w:p>
            <w:pPr>
              <w:ind w:firstLine="840" w:firstLineChars="400"/>
              <w:rPr>
                <w:rFonts w:hint="eastAsia"/>
                <w:color w:val="auto"/>
              </w:rPr>
            </w:pPr>
            <w:r>
              <w:rPr>
                <w:rFonts w:hint="eastAsia"/>
                <w:color w:val="auto"/>
              </w:rPr>
              <w:t>印度多部门发布本年度印度允许国内纺织企业在9月30日之前免税进口42.5万吨棉花的消息，引发市场关注。14日印度国内S-6现货报价高位持稳，印度S-6价格159.65美分。</w:t>
            </w:r>
          </w:p>
          <w:p>
            <w:pPr>
              <w:ind w:firstLine="840" w:firstLineChars="400"/>
              <w:rPr>
                <w:rFonts w:hint="eastAsia"/>
                <w:color w:val="auto"/>
              </w:rPr>
            </w:pPr>
            <w:r>
              <w:rPr>
                <w:rFonts w:hint="eastAsia"/>
                <w:color w:val="auto"/>
              </w:rPr>
              <w:t>国内棉花现货市场皮棉现货报价继续下跌,现货价格报22554元。期货盘面价差变化大，5-9价差明显压缩，从1000元附近压缩至100元附近，其中的逻辑主要解释为：近月现货销售压力大，需求低迷，现货降价出售。目前9-1价差475元附近，参考5/9价差走势，9-1价差变化也会有想象力，单纯从传统的供应角度考虑需要注意：9月处于青黄不接时对价格有支撑，1月属于棉花集中上市季对价格有压力，个人预期9/1价差先转弱的交易机会。</w:t>
            </w:r>
          </w:p>
          <w:p>
            <w:pPr>
              <w:ind w:firstLine="840" w:firstLineChars="400"/>
              <w:rPr>
                <w:rFonts w:hint="eastAsia" w:ascii="Times New Roman" w:hAnsi="Times New Roman" w:eastAsia="宋体" w:cs="Times New Roman"/>
                <w:color w:val="auto"/>
                <w:kern w:val="2"/>
                <w:sz w:val="21"/>
                <w:lang w:val="en-US" w:eastAsia="zh-CN" w:bidi="ar-SA"/>
              </w:rPr>
            </w:pPr>
            <w:r>
              <w:rPr>
                <w:rFonts w:hint="eastAsia"/>
                <w:color w:val="auto"/>
              </w:rPr>
              <w:t>综上，印度棉减免进口关税再一次助推外棉价格；参考4月的USDA报告全球需求出现下调，高价原料向下游传导压力越来越大，因此外棉虽然强势但攀升的压力也很大，关注取消签约的情况。国内棉花市场需求不好的现实让价格疲惫不堪。</w:t>
            </w:r>
          </w:p>
        </w:tc>
        <w:tc>
          <w:tcPr>
            <w:tcW w:w="2050" w:type="dxa"/>
            <w:tcBorders>
              <w:top w:val="single" w:color="000000" w:sz="4" w:space="0"/>
              <w:left w:val="single" w:color="000000" w:sz="4" w:space="0"/>
              <w:bottom w:val="single" w:color="000000" w:sz="4" w:space="0"/>
              <w:right w:val="single" w:color="000000" w:sz="4" w:space="0"/>
            </w:tcBorders>
            <w:vAlign w:val="top"/>
          </w:tcPr>
          <w:p>
            <w:pPr>
              <w:widowControl/>
              <w:suppressAutoHyphens w:val="0"/>
              <w:jc w:val="left"/>
              <w:rPr>
                <w:rFonts w:hint="eastAsia"/>
                <w:b/>
                <w:color w:val="auto"/>
                <w:lang w:eastAsia="zh-CN"/>
              </w:rPr>
            </w:pPr>
            <w:r>
              <w:rPr>
                <w:rFonts w:hint="eastAsia"/>
                <w:b/>
                <w:color w:val="auto"/>
                <w:lang w:eastAsia="zh-CN"/>
              </w:rPr>
              <w:t>受外棉强势的影响，郑棉盘面底部有抬高迹象，短线不追涨杀跌，中长线空单续持，逢反弹加仓，防守参考22000元。</w:t>
            </w:r>
          </w:p>
          <w:p>
            <w:pPr>
              <w:widowControl/>
              <w:suppressAutoHyphens w:val="0"/>
              <w:jc w:val="left"/>
              <w:rPr>
                <w:rFonts w:hint="eastAsia"/>
                <w:b/>
                <w:color w:val="auto"/>
                <w:lang w:eastAsia="zh-CN"/>
              </w:rPr>
            </w:pPr>
          </w:p>
          <w:p>
            <w:pPr>
              <w:widowControl/>
              <w:suppressAutoHyphens w:val="0"/>
              <w:jc w:val="left"/>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苗玲</w:t>
            </w:r>
            <w:r>
              <w:rPr>
                <w:rFonts w:hint="eastAsia"/>
                <w:b/>
                <w:color w:val="auto"/>
                <w:lang w:eastAsia="zh-CN"/>
              </w:rPr>
              <w:t>）</w:t>
            </w:r>
          </w:p>
        </w:tc>
      </w:tr>
    </w:tbl>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sectPr>
          <w:headerReference r:id="rId3" w:type="default"/>
          <w:footerReference r:id="rId4" w:type="default"/>
          <w:pgSz w:w="11906" w:h="16838"/>
          <w:pgMar w:top="907" w:right="1797" w:bottom="1134" w:left="1797" w:header="510" w:footer="992" w:gutter="0"/>
          <w:cols w:space="720" w:num="1"/>
          <w:docGrid w:type="lines" w:linePitch="312" w:charSpace="0"/>
        </w:sectPr>
      </w:pPr>
      <w:r>
        <w:rPr>
          <w:rFonts w:hint="eastAsia" w:ascii="黑体" w:eastAsia="黑体" w:cs="宋体"/>
          <w:color w:val="auto"/>
          <w:szCs w:val="21"/>
        </w:rPr>
        <w:t>◆工业品</w:t>
      </w:r>
    </w:p>
    <w:p>
      <w:pPr>
        <w:rPr>
          <w:color w:val="auto"/>
          <w:szCs w:val="21"/>
        </w:rPr>
        <w:sectPr>
          <w:type w:val="continuous"/>
          <w:pgSz w:w="11906" w:h="16838"/>
          <w:pgMar w:top="1440" w:right="1797" w:bottom="1134" w:left="1797" w:header="851" w:footer="992" w:gutter="0"/>
          <w:cols w:space="720" w:num="1"/>
          <w:docGrid w:type="lines" w:linePitch="312" w:charSpace="0"/>
        </w:sectPr>
      </w:pPr>
    </w:p>
    <w:tbl>
      <w:tblPr>
        <w:tblStyle w:val="4"/>
        <w:tblW w:w="8994" w:type="dxa"/>
        <w:tblInd w:w="0" w:type="dxa"/>
        <w:tblLayout w:type="fixed"/>
        <w:tblCellMar>
          <w:top w:w="0" w:type="dxa"/>
          <w:left w:w="108" w:type="dxa"/>
          <w:bottom w:w="0" w:type="dxa"/>
          <w:right w:w="108" w:type="dxa"/>
        </w:tblCellMar>
      </w:tblPr>
      <w:tblGrid>
        <w:gridCol w:w="534"/>
        <w:gridCol w:w="6410"/>
        <w:gridCol w:w="2050"/>
      </w:tblGrid>
      <w:tr>
        <w:tblPrEx>
          <w:tblCellMar>
            <w:top w:w="0" w:type="dxa"/>
            <w:left w:w="108" w:type="dxa"/>
            <w:bottom w:w="0" w:type="dxa"/>
            <w:right w:w="108" w:type="dxa"/>
          </w:tblCellMar>
        </w:tblPrEx>
        <w:trPr>
          <w:cantSplit/>
          <w:trHeight w:val="480" w:hRule="atLeast"/>
        </w:trPr>
        <w:tc>
          <w:tcPr>
            <w:tcW w:w="534" w:type="dxa"/>
            <w:tcBorders>
              <w:top w:val="single" w:color="000000" w:sz="4" w:space="0"/>
              <w:left w:val="single" w:color="000000" w:sz="4" w:space="0"/>
              <w:bottom w:val="single" w:color="000000" w:sz="4" w:space="0"/>
              <w:right w:val="nil"/>
            </w:tcBorders>
          </w:tcPr>
          <w:p>
            <w:pPr>
              <w:widowControl/>
              <w:snapToGrid w:val="0"/>
              <w:jc w:val="left"/>
              <w:rPr>
                <w:rFonts w:ascii="宋体" w:hAnsi="宋体" w:cs="黑体"/>
                <w:color w:val="auto"/>
                <w:szCs w:val="21"/>
              </w:rPr>
            </w:pPr>
          </w:p>
        </w:tc>
        <w:tc>
          <w:tcPr>
            <w:tcW w:w="6410" w:type="dxa"/>
            <w:tcBorders>
              <w:top w:val="single" w:color="000000" w:sz="4" w:space="0"/>
              <w:left w:val="single" w:color="000000" w:sz="4" w:space="0"/>
              <w:bottom w:val="single" w:color="000000" w:sz="4" w:space="0"/>
              <w:right w:val="nil"/>
            </w:tcBorders>
            <w:vAlign w:val="center"/>
          </w:tcPr>
          <w:p>
            <w:pPr>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hint="default" w:ascii="宋体" w:hAnsi="宋体" w:cs="宋体"/>
                <w:b/>
                <w:color w:val="auto"/>
                <w:kern w:val="0"/>
                <w:szCs w:val="21"/>
                <w:lang w:val="en-US" w:eastAsia="zh-CN"/>
              </w:rPr>
            </w:pPr>
            <w:r>
              <w:rPr>
                <w:rFonts w:hint="eastAsia" w:ascii="宋体" w:hAnsi="宋体" w:cs="宋体"/>
                <w:b/>
                <w:color w:val="auto"/>
                <w:kern w:val="0"/>
                <w:szCs w:val="21"/>
                <w:lang w:val="en-US" w:eastAsia="zh-CN"/>
              </w:rPr>
              <w:t>钢材</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钢材周五价格震荡走势，螺纹2210合约收于5038，热卷2210合约收于5181。现货方面，15日唐山普方坯出厂价报4810（+30），上海地区螺纹钢现货价格(HRB400 20mm)5080元（+20），热卷现货价格(4.75mm)5180元（+20）。</w:t>
            </w:r>
          </w:p>
          <w:p>
            <w:pPr>
              <w:widowControl/>
              <w:suppressAutoHyphens w:val="0"/>
              <w:ind w:firstLine="630" w:firstLineChars="300"/>
              <w:jc w:val="left"/>
              <w:rPr>
                <w:rFonts w:hint="eastAsia"/>
                <w:color w:val="auto"/>
              </w:rPr>
            </w:pPr>
            <w:r>
              <w:rPr>
                <w:rFonts w:hint="eastAsia"/>
                <w:color w:val="auto"/>
              </w:rPr>
              <w:t>央行决定于2022年4月25日下调金融机构存款准备金率0.25个百分点。本次下调后，金融机构加权平均存款准备金率为8.1%。此次降准共计释放长期资金约5300亿元。</w:t>
            </w:r>
          </w:p>
          <w:p>
            <w:pPr>
              <w:widowControl/>
              <w:suppressAutoHyphens w:val="0"/>
              <w:ind w:firstLine="630" w:firstLineChars="300"/>
              <w:jc w:val="left"/>
              <w:rPr>
                <w:rFonts w:hint="eastAsia"/>
                <w:color w:val="auto"/>
              </w:rPr>
            </w:pPr>
            <w:r>
              <w:rPr>
                <w:rFonts w:hint="eastAsia"/>
                <w:color w:val="auto"/>
              </w:rPr>
              <w:t>上周，Mysteel调研247家钢厂高炉开工率80.11%，环比增加0.84%，同比去年下降4.02%。全国85家独立电弧炉钢厂，平均开工率为69.22%，环比上升1.91%，同比下降13.28%。</w:t>
            </w:r>
          </w:p>
          <w:p>
            <w:pPr>
              <w:widowControl/>
              <w:suppressAutoHyphens w:val="0"/>
              <w:ind w:firstLine="630" w:firstLineChars="300"/>
              <w:jc w:val="left"/>
              <w:rPr>
                <w:rFonts w:hint="eastAsia"/>
                <w:color w:val="auto"/>
              </w:rPr>
            </w:pPr>
            <w:r>
              <w:rPr>
                <w:rFonts w:hint="eastAsia"/>
                <w:color w:val="auto"/>
              </w:rPr>
              <w:t>4月16日起，西安在全市范围实行4天临时社会面管控措施；苏州在吴江区、吴中区、相城区、姑苏区、苏州工业园区和虎丘区（苏州高新区）进一步升级疫情防控措施。4月18日起，山东烟台全面恢复社会生产生活秩序；沈阳地铁、公交、有轨电车全面恢复运营；廊坊、霸州加强疫情防控分级分区管控，唐山滦州市、迁安市、 迁西县实施临时全域封控管理。</w:t>
            </w:r>
          </w:p>
          <w:p>
            <w:pPr>
              <w:widowControl/>
              <w:suppressAutoHyphens w:val="0"/>
              <w:ind w:firstLine="630" w:firstLineChars="300"/>
              <w:jc w:val="left"/>
              <w:rPr>
                <w:rFonts w:hint="eastAsia" w:eastAsia="宋体"/>
                <w:color w:val="auto"/>
                <w:lang w:val="en-US" w:eastAsia="zh-CN"/>
              </w:rPr>
            </w:pPr>
            <w:r>
              <w:rPr>
                <w:rFonts w:hint="eastAsia"/>
                <w:color w:val="auto"/>
              </w:rPr>
              <w:t>国内疫情整体延续较预期更长，华东地区的疫情对经济影响明显，国内宏观层面的宽松政策持续，本周五如期下调了准备金率，但下调幅度小于预期水平，在海外加息的周期中，国内货币政策的宽松空间有限。钢材供应端疫情影响逐渐减弱，当前产量恢复缓慢的原因在于利润偏低的影响，消费端建材受到房地产尚不景气影响弱于往年同期，板材周度受到疫情影响明显，在目前上海要求一企一策的复工政策下，预计后续消费将有回升。总体来看，疫情导致当前供需双弱的情况被市场接受，政策方面的预期和成本支撑钢材价格。</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短期预计仍延续高位震荡的走势，疫情受控后，关注真实需求回归后市场的反馈。</w:t>
            </w:r>
          </w:p>
          <w:p>
            <w:pPr>
              <w:rPr>
                <w:rFonts w:hint="eastAsia"/>
                <w:b/>
                <w:color w:val="auto"/>
                <w:lang w:eastAsia="zh-CN"/>
              </w:rPr>
            </w:pPr>
          </w:p>
          <w:p>
            <w:pPr>
              <w:rPr>
                <w:b/>
                <w:color w:val="auto"/>
                <w:lang w:eastAsia="zh-CN"/>
              </w:rPr>
            </w:pPr>
            <w:r>
              <w:rPr>
                <w:rFonts w:hint="eastAsia"/>
                <w:b/>
                <w:color w:val="auto"/>
                <w:lang w:eastAsia="zh-CN"/>
              </w:rPr>
              <w:t>(黄</w:t>
            </w:r>
            <w:r>
              <w:rPr>
                <w:rFonts w:hint="eastAsia"/>
                <w:b/>
                <w:color w:val="auto"/>
                <w:lang w:eastAsia="zh-CN"/>
              </w:rPr>
              <w:t>天罡)</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铁矿石</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420" w:firstLineChars="200"/>
              <w:jc w:val="left"/>
              <w:rPr>
                <w:rFonts w:hint="eastAsia"/>
                <w:color w:val="auto"/>
              </w:rPr>
            </w:pPr>
            <w:r>
              <w:rPr>
                <w:rFonts w:hint="eastAsia"/>
                <w:color w:val="auto"/>
              </w:rPr>
              <w:t>全国45个港口进口铁矿库存为14872.50，环比降353.35；</w:t>
            </w:r>
          </w:p>
          <w:p>
            <w:pPr>
              <w:widowControl/>
              <w:suppressAutoHyphens w:val="0"/>
              <w:jc w:val="left"/>
              <w:rPr>
                <w:rFonts w:hint="eastAsia"/>
                <w:color w:val="auto"/>
              </w:rPr>
            </w:pPr>
            <w:r>
              <w:rPr>
                <w:rFonts w:hint="eastAsia"/>
                <w:color w:val="auto"/>
              </w:rPr>
              <w:t xml:space="preserve">    日均疏港量300.36降1.14。</w:t>
            </w:r>
          </w:p>
          <w:p>
            <w:pPr>
              <w:widowControl/>
              <w:suppressAutoHyphens w:val="0"/>
              <w:jc w:val="left"/>
              <w:rPr>
                <w:rFonts w:hint="eastAsia"/>
                <w:color w:val="auto"/>
              </w:rPr>
            </w:pPr>
            <w:r>
              <w:rPr>
                <w:rFonts w:hint="eastAsia"/>
                <w:color w:val="auto"/>
              </w:rPr>
              <w:t xml:space="preserve">    247家钢厂高炉开工率80.11%，环比上周增加0.84%，同比去年下降4.02%；</w:t>
            </w:r>
          </w:p>
          <w:p>
            <w:pPr>
              <w:widowControl/>
              <w:suppressAutoHyphens w:val="0"/>
              <w:jc w:val="left"/>
              <w:rPr>
                <w:rFonts w:hint="eastAsia"/>
                <w:color w:val="auto"/>
              </w:rPr>
            </w:pPr>
            <w:r>
              <w:rPr>
                <w:rFonts w:hint="eastAsia"/>
                <w:color w:val="auto"/>
              </w:rPr>
              <w:t xml:space="preserve">    高炉炼铁产能利用率86.42%，环比增加1.48%，同比下降1.49%；</w:t>
            </w:r>
          </w:p>
          <w:p>
            <w:pPr>
              <w:widowControl/>
              <w:suppressAutoHyphens w:val="0"/>
              <w:jc w:val="left"/>
              <w:rPr>
                <w:rFonts w:hint="eastAsia"/>
                <w:color w:val="auto"/>
              </w:rPr>
            </w:pPr>
            <w:r>
              <w:rPr>
                <w:rFonts w:hint="eastAsia"/>
                <w:color w:val="auto"/>
              </w:rPr>
              <w:t xml:space="preserve">    钢厂盈利率74.89%，环比下降1.30%，同比下降15.15%；</w:t>
            </w:r>
          </w:p>
          <w:p>
            <w:pPr>
              <w:widowControl/>
              <w:suppressAutoHyphens w:val="0"/>
              <w:jc w:val="left"/>
              <w:rPr>
                <w:rFonts w:hint="eastAsia"/>
                <w:color w:val="auto"/>
              </w:rPr>
            </w:pPr>
            <w:r>
              <w:rPr>
                <w:rFonts w:hint="eastAsia"/>
                <w:color w:val="auto"/>
              </w:rPr>
              <w:t xml:space="preserve">    日均铁水产量233.30万吨，环比增加3.98万吨，同比下降1.06万吨。</w:t>
            </w:r>
          </w:p>
          <w:p>
            <w:pPr>
              <w:widowControl/>
              <w:suppressAutoHyphens w:val="0"/>
              <w:jc w:val="left"/>
              <w:rPr>
                <w:rFonts w:hint="eastAsia" w:eastAsia="宋体"/>
                <w:color w:val="auto"/>
                <w:lang w:val="en-US" w:eastAsia="zh-CN"/>
              </w:rPr>
            </w:pPr>
            <w:r>
              <w:rPr>
                <w:rFonts w:hint="eastAsia"/>
                <w:color w:val="auto"/>
              </w:rPr>
              <w:t xml:space="preserve">    当前稳增长政策预期持续加强，钢厂高炉仍处于复产过程中，疫情管控下复产较为缓慢，后期铁水产量仍有上行空间，铁矿石供需边际改善，港口库存保持去库状态，上周港口库存继续大幅下降353万吨，但疫情扰动下终端需求持续疲弱和钢铁低利润使得矿石价格上方承压，矿石整体表现为高位偏强震荡</w:t>
            </w:r>
            <w:r>
              <w:rPr>
                <w:rFonts w:hint="eastAsia"/>
                <w:color w:val="auto"/>
                <w:lang w:eastAsia="zh-CN"/>
              </w:rPr>
              <w:t>。</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建议短线交易。</w:t>
            </w:r>
          </w:p>
          <w:p>
            <w:pPr>
              <w:rPr>
                <w:rFonts w:hint="eastAsia"/>
                <w:b/>
                <w:color w:val="auto"/>
                <w:lang w:eastAsia="zh-CN"/>
              </w:rPr>
            </w:pPr>
          </w:p>
          <w:p>
            <w:pPr>
              <w:rPr>
                <w:rFonts w:hint="eastAsia"/>
                <w:b/>
                <w:color w:val="auto"/>
                <w:lang w:eastAsia="zh-CN"/>
              </w:rPr>
            </w:pPr>
            <w:r>
              <w:rPr>
                <w:rFonts w:hint="eastAsia"/>
                <w:b/>
                <w:color w:val="auto"/>
                <w:lang w:eastAsia="zh-CN"/>
              </w:rPr>
              <w:t>(杨俊林)</w:t>
            </w:r>
          </w:p>
          <w:p>
            <w:pPr>
              <w:rPr>
                <w:rFonts w:hint="eastAsia"/>
                <w:b/>
                <w:color w:val="auto"/>
                <w:lang w:eastAsia="zh-CN"/>
              </w:rPr>
            </w:pPr>
          </w:p>
        </w:tc>
      </w:tr>
      <w:tr>
        <w:tblPrEx>
          <w:tblCellMar>
            <w:top w:w="0" w:type="dxa"/>
            <w:left w:w="108" w:type="dxa"/>
            <w:bottom w:w="0" w:type="dxa"/>
            <w:right w:w="108" w:type="dxa"/>
          </w:tblCellMar>
        </w:tblPrEx>
        <w:trPr>
          <w:cantSplit/>
          <w:trHeight w:val="4922"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煤焦</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现货市场，双焦价格稳中向好，焦企有继续提涨意向。山西介休1.3硫主焦2600元/吨，蒙5金泉提货价2950元/吨，澳煤到岸价489美元/吨；吕梁准一出厂价3550元/吨，唐山二级焦到厂价3650元/吨，青岛港准一焦平仓价3800元/吨。</w:t>
            </w:r>
          </w:p>
          <w:p>
            <w:pPr>
              <w:widowControl/>
              <w:suppressAutoHyphens w:val="0"/>
              <w:ind w:firstLine="630" w:firstLineChars="300"/>
              <w:jc w:val="left"/>
              <w:rPr>
                <w:rFonts w:hint="eastAsia"/>
                <w:color w:val="auto"/>
              </w:rPr>
            </w:pPr>
            <w:r>
              <w:rPr>
                <w:rFonts w:hint="eastAsia"/>
                <w:color w:val="auto"/>
              </w:rPr>
              <w:t>上海经信委发布《上海市工业企业复工复产疫情防控指引（第一版）》明确，各区政府和街镇、园区要积极支持企业复工复产，指导企业“一企一策”，切实做好疫情防控工作。</w:t>
            </w:r>
          </w:p>
          <w:p>
            <w:pPr>
              <w:widowControl/>
              <w:suppressAutoHyphens w:val="0"/>
              <w:ind w:firstLine="630" w:firstLineChars="300"/>
              <w:jc w:val="left"/>
              <w:rPr>
                <w:rFonts w:hint="eastAsia"/>
                <w:color w:val="auto"/>
              </w:rPr>
            </w:pPr>
            <w:r>
              <w:rPr>
                <w:rFonts w:hint="eastAsia"/>
                <w:color w:val="auto"/>
              </w:rPr>
              <w:t>4/18日起，廊坊、霸州加强疫情防控分级分区管控，唐山滦州市、迁安市、 迁西县实施临时全域封控管理。</w:t>
            </w:r>
          </w:p>
          <w:p>
            <w:pPr>
              <w:widowControl/>
              <w:suppressAutoHyphens w:val="0"/>
              <w:ind w:firstLine="630" w:firstLineChars="300"/>
              <w:jc w:val="left"/>
              <w:rPr>
                <w:rFonts w:hint="eastAsia" w:eastAsia="宋体"/>
                <w:color w:val="auto"/>
                <w:lang w:val="en-US" w:eastAsia="zh-CN"/>
              </w:rPr>
            </w:pPr>
            <w:r>
              <w:rPr>
                <w:rFonts w:hint="eastAsia"/>
                <w:color w:val="auto"/>
              </w:rPr>
              <w:t>整体来说，近期政策强调畅通物流环节，有助于下游钢材采购的恢复，同时降准、房地产放松的政策利好也继续支撑终端需求的向好预期，支撑双焦的需求预期；不过疫情的不确定性继续影响市场，徐州、唐山两地再度有封控区，关注钢厂生产情况，且目前钢厂利润偏低，终端需求继续受疫情抑制处于低位，成本抬高下的正反馈难度增大。</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焦炭高位风险增大，注意节奏把握。</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auto"/>
                <w:lang w:eastAsia="zh-CN"/>
              </w:rPr>
              <w:t>李岩）</w:t>
            </w:r>
          </w:p>
        </w:tc>
      </w:tr>
      <w:tr>
        <w:tblPrEx>
          <w:tblCellMar>
            <w:top w:w="0" w:type="dxa"/>
            <w:left w:w="108" w:type="dxa"/>
            <w:bottom w:w="0" w:type="dxa"/>
            <w:right w:w="108" w:type="dxa"/>
          </w:tblCellMar>
        </w:tblPrEx>
        <w:trPr>
          <w:cantSplit/>
          <w:trHeight w:val="934"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铝</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lang w:val="en-US" w:eastAsia="zh-CN"/>
              </w:rPr>
            </w:pPr>
            <w:r>
              <w:rPr>
                <w:rFonts w:hint="eastAsia"/>
                <w:color w:val="auto"/>
                <w:lang w:val="en-US" w:eastAsia="zh-CN"/>
              </w:rPr>
              <w:t>上周五沪铝偏强运行，沪铝主力月2205合约收至21850元/吨，涨490元，涨幅2.29%。现货方面，长江现货成交价格21430-21470元/吨，涨400元，贴水25-贴水15；广东南储报21500-21560元/吨，涨410元；华通报21490-21530元/吨，涨400元。持货商跟随盘面调价，接货方补货积极性一般，交投氛围表现平淡，整体成交量受限。</w:t>
            </w:r>
          </w:p>
          <w:p>
            <w:pPr>
              <w:widowControl/>
              <w:suppressAutoHyphens w:val="0"/>
              <w:ind w:firstLine="630" w:firstLineChars="300"/>
              <w:jc w:val="left"/>
              <w:rPr>
                <w:rFonts w:hint="eastAsia"/>
                <w:color w:val="auto"/>
                <w:lang w:val="en-US" w:eastAsia="zh-CN"/>
              </w:rPr>
            </w:pPr>
            <w:r>
              <w:rPr>
                <w:rFonts w:hint="eastAsia"/>
                <w:color w:val="auto"/>
                <w:lang w:val="en-US" w:eastAsia="zh-CN"/>
              </w:rPr>
              <w:t>SMM讯，国产铝土矿受疫情影响，矿山开采的人力配置及成品矿运输限制，矿石跨省运输难度较大，部分山西厂家的矿石库存不足一个月，若交通运力持续不能恢复，或面临减产风险。</w:t>
            </w:r>
          </w:p>
          <w:p>
            <w:pPr>
              <w:widowControl/>
              <w:suppressAutoHyphens w:val="0"/>
              <w:ind w:firstLine="630" w:firstLineChars="300"/>
              <w:jc w:val="left"/>
              <w:rPr>
                <w:color w:val="auto"/>
              </w:rPr>
            </w:pPr>
            <w:r>
              <w:rPr>
                <w:rFonts w:hint="eastAsia"/>
                <w:color w:val="auto"/>
                <w:lang w:val="en-US" w:eastAsia="zh-CN"/>
              </w:rPr>
              <w:t>当前西方国家继续对俄罗斯实施新的制裁，俄铝向外出口受阻，欧洲天然气价格回落，海外供应忧虑降温。国内云南、广西等地电解铝复产及新增产能投产提速，产量有望赶超去年同期。下游前期因疫情停产的企业生产逐步恢复，旺季未到但消费预期仍较为乐观，提振现货市场成交。国内降准消息进一步打压空头信心，铝价偏强运行。</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操作上偏多思路对待，继续关注疫情影响。</w:t>
            </w:r>
          </w:p>
          <w:p>
            <w:pPr>
              <w:rPr>
                <w:rFonts w:hint="eastAsia"/>
                <w:b/>
                <w:color w:val="auto"/>
                <w:lang w:eastAsia="zh-CN"/>
              </w:rPr>
            </w:pPr>
          </w:p>
          <w:p>
            <w:pPr>
              <w:rPr>
                <w:b/>
                <w:color w:val="auto"/>
                <w:lang w:eastAsia="zh-CN"/>
              </w:rPr>
            </w:pPr>
            <w:r>
              <w:rPr>
                <w:rFonts w:hint="eastAsia"/>
                <w:b/>
                <w:color w:val="auto"/>
                <w:lang w:eastAsia="zh-CN"/>
              </w:rPr>
              <w:t>（有</w:t>
            </w:r>
            <w:r>
              <w:rPr>
                <w:rFonts w:hint="eastAsia"/>
                <w:b/>
                <w:color w:val="auto"/>
                <w:lang w:eastAsia="zh-CN"/>
              </w:rPr>
              <w:t>色组）</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天胶</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上周五国内央行降准符合市场预期，但降准幅度偏小，且未有降息动作。另一方面，目前国内稳增长的预期依旧较为强烈，后续料继续会有相应政策，上周五国内工业品期货指数偏强上涨，不过整体仍面临偏高位置的压力，RU与整体工业品期货的走势保持背离状态，关注今日公布的经济数据。行业方面，泰国东北部零星试割，预计4月下旬进入开割期，类似去年，符合正产季节性；越南3月底4月初陆续试割，预计主产区将于5月初全面开割，明显早于去年和正常开割期；云南4月中旬全面开割，大幅早于去年，恢复正常季节性；海南目前东南部个别区域开割，胶水产量稀少，大部分区域开割预计将在4月中下旬陆续试割，大幅晚于去年，略晚于正常季节性。上周五云南干胶厂胶水收购价格参考在11500-12000元/吨，再度回到低位，料有一定支撑。上周五国内现货市场主流价格跟随期货盘面窄幅调整，市场仓储、运输方面管控情况逐步好转，听闻局部下游工厂备货积极性有所提升，上海20年SCRWF主流价格在12650—12800元/吨；上海地区SVR3L参考价格在12750—12800元/吨；云南市场国产10#胶参考价格12000—12100元/吨。</w:t>
            </w:r>
          </w:p>
          <w:p>
            <w:pPr>
              <w:widowControl/>
              <w:suppressAutoHyphens w:val="0"/>
              <w:ind w:firstLine="630" w:firstLineChars="300"/>
              <w:jc w:val="left"/>
              <w:rPr>
                <w:rFonts w:hint="eastAsia" w:eastAsia="宋体"/>
                <w:color w:val="auto"/>
                <w:lang w:eastAsia="zh-CN"/>
              </w:rPr>
            </w:pPr>
            <w:r>
              <w:rPr>
                <w:rFonts w:hint="eastAsia"/>
                <w:color w:val="auto"/>
              </w:rPr>
              <w:t>技术面：上周五RU2209弱势下探，逼近13300附近的强支撑位，不过胶价整体受到跌势压制，后市继续下探的可能性依旧存在，此处多空分歧和短期风险较大，投资者需谨慎对待。</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操作建议：暂时观望为主，关注短期多空博弈方向。</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auto"/>
                <w:lang w:eastAsia="zh-CN"/>
              </w:rPr>
              <w:t>王海峰）</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原油</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近期欧洲官员正在起草一项分阶段禁止进口俄罗斯石油计划，推动了油价上涨。尽管一些欧盟成员国高度依赖俄罗斯石油进口，本禁令恐难真正实行，但市场不免担忧引爆能源争夺战。本月早些时候，欧盟对俄罗斯的煤炭禁令采取了类似的做法，意味着围绕能源的博弈正在进一步升级。惠誉：如果布伦特原油价格平均为100美元/桶，沙特阿拉伯的石油产量平均将为1070万桶/日；如果价格为80美元/桶，产量为1110万桶/日。4月13日，EIA报告显示，除却战略储备的商业原油库存增加938.2万桶至4.218亿桶，增加2.3%；上周美国国内原油产量维持在1180万桶/日；美国上周原油出口减少151.3万桶/日至218万桶/日。IEA：中国的疫情封控打击原油需求，俄罗斯4月石油供应量将下降150万桶/日。俄罗斯3月份石脑油出口大幅下降。从3月1日至今，德克萨斯州的燃气发电量平均略低于300亿立方英尺/日，处于2011年以来六周的最低水平。4月12日，欧佩克月报显示，欧佩克3月原油产出增加5.7万桶/日至2856万桶/日；二手资料显示，沙特3月原油产量增加5.4万桶/日，至1026.2万桶/日；阿联酋3月原油产量增加2.3万桶/日，至298.3万桶/日。美国能源政策辩论：共和党表示拜登政策使生产商不愿投资更多资金，而民主党人则表示该行业有责任将利润分配给更多的产出而不是股东回报。拜登签署暂停与俄罗斯正常贸易地位的法案，提高了从俄罗斯进口金属的关税，立法允许美国在2024年之前征收更高的关税。美国银行：维持2022-2023年布伦特原油平均价格102美元/桶的预测，将布伦特原油夏季峰值价格降至120美元/桶。</w:t>
            </w:r>
          </w:p>
          <w:p>
            <w:pPr>
              <w:widowControl/>
              <w:suppressAutoHyphens w:val="0"/>
              <w:ind w:firstLine="630" w:firstLineChars="300"/>
              <w:jc w:val="left"/>
              <w:rPr>
                <w:rFonts w:hint="eastAsia" w:ascii="Times New Roman" w:hAnsi="Times New Roman" w:eastAsia="宋体" w:cs="Times New Roman"/>
                <w:color w:val="auto"/>
                <w:kern w:val="2"/>
                <w:sz w:val="21"/>
                <w:lang w:val="en-US" w:eastAsia="zh-CN" w:bidi="ar-SA"/>
              </w:rPr>
            </w:pPr>
            <w:r>
              <w:rPr>
                <w:rFonts w:hint="eastAsia"/>
                <w:color w:val="auto"/>
              </w:rPr>
              <w:t>操作建议: 因耶稣受难日假期，欧美原油期货休市一天，WTI及布伦特期货均无结算价。</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操作思路以震荡偏空为主，关注布伦特原油震荡区间105-120美元/桶，注意止盈止损。</w:t>
            </w:r>
          </w:p>
          <w:p>
            <w:pPr>
              <w:rPr>
                <w:rFonts w:hint="eastAsia"/>
                <w:b/>
                <w:color w:val="auto"/>
                <w:lang w:eastAsia="zh-CN"/>
              </w:rPr>
            </w:pPr>
          </w:p>
          <w:p>
            <w:pPr>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黄世俊</w:t>
            </w:r>
            <w:r>
              <w:rPr>
                <w:rFonts w:hint="eastAsia"/>
                <w:b/>
                <w:color w:val="auto"/>
                <w:lang w:eastAsia="zh-CN"/>
              </w:rPr>
              <w:t>）</w:t>
            </w:r>
          </w:p>
        </w:tc>
      </w:tr>
    </w:tbl>
    <w:p>
      <w:pPr>
        <w:widowControl/>
        <w:jc w:val="left"/>
        <w:rPr>
          <w:rFonts w:ascii="黑体" w:eastAsia="黑体" w:cs="宋体"/>
          <w:color w:val="auto"/>
          <w:szCs w:val="21"/>
        </w:rPr>
      </w:pPr>
      <w:r>
        <w:rPr>
          <w:rFonts w:hint="eastAsia" w:ascii="黑体" w:eastAsia="黑体" w:cs="宋体"/>
          <w:color w:val="auto"/>
          <w:szCs w:val="21"/>
        </w:rPr>
        <w:t>本报告中的信息均来源于公开资料，我公司对这些信息的准确性和完整性不作任何保证，报告中的内容和意见仅供参考。我公司及员工对使用本报刊及其内容所引发的任何直接或间接损失概不负责。本报刊版权归道通期货所有。</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lang w:eastAsia="zh-CN"/>
      </w:rPr>
      <mc:AlternateContent>
        <mc:Choice Requires="wps">
          <w:drawing>
            <wp:anchor distT="0" distB="0" distL="0" distR="0" simplePos="0" relativeHeight="251659264" behindDoc="0" locked="0" layoutInCell="1" allowOverlap="1">
              <wp:simplePos x="0" y="0"/>
              <wp:positionH relativeFrom="page">
                <wp:posOffset>6361430</wp:posOffset>
              </wp:positionH>
              <wp:positionV relativeFrom="paragraph">
                <wp:posOffset>635</wp:posOffset>
              </wp:positionV>
              <wp:extent cx="246380" cy="124460"/>
              <wp:effectExtent l="8255" t="635" r="2540" b="8255"/>
              <wp:wrapSquare wrapText="largest"/>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6380" cy="124460"/>
                      </a:xfrm>
                      <a:prstGeom prst="rect">
                        <a:avLst/>
                      </a:prstGeom>
                      <a:solidFill>
                        <a:srgbClr val="FFFFFF">
                          <a:alpha val="0"/>
                        </a:srgbClr>
                      </a:solidFill>
                      <a:ln>
                        <a:noFill/>
                      </a:ln>
                      <a:effectLst/>
                    </wps:spPr>
                    <wps:txbx>
                      <w:txbxContent>
                        <w:p>
                          <w:pPr>
                            <w:pStyle w:val="2"/>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0.9pt;margin-top:0.05pt;height:9.8pt;width:19.4pt;mso-position-horizontal-relative:page;mso-wrap-distance-bottom:0pt;mso-wrap-distance-left:0pt;mso-wrap-distance-right:0pt;mso-wrap-distance-top:0pt;z-index:251659264;mso-width-relative:page;mso-height-relative:page;" fillcolor="#FFFFFF" filled="t" stroked="f" coordsize="21600,21600" o:gfxdata="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cXJT1AAAAAkBAAAPAAAAAAAAAAEAIAAAACIAAABkcnMvZG93bnJldi54bWxQSwEC&#10;FAAUAAAACACHTuJAExrNKjECAABYBAAADgAAAAAAAAABACAAAAAjAQAAZHJzL2Uyb0RvYy54bWxQ&#10;SwUGAAAAAAYABgBZAQAAxgUAAAAA&#10;">
              <v:fill on="t" opacity="0f" focussize="0,0"/>
              <v:stroke on="f"/>
              <v:imagedata o:title=""/>
              <o:lock v:ext="edit" aspectratio="f"/>
              <v:textbox inset="0mm,0mm,0mm,0mm">
                <w:txbxContent>
                  <w:p>
                    <w:pPr>
                      <w:pStyle w:val="2"/>
                    </w:pPr>
                    <w:r>
                      <w:fldChar w:fldCharType="begin"/>
                    </w:r>
                    <w:r>
                      <w:instrText xml:space="preserve"> PAGE </w:instrText>
                    </w:r>
                    <w:r>
                      <w:fldChar w:fldCharType="separate"/>
                    </w:r>
                    <w:r>
                      <w:t>6</w:t>
                    </w:r>
                    <w:r>
                      <w:fldChar w:fldCharType="end"/>
                    </w:r>
                  </w:p>
                </w:txbxContent>
              </v:textbox>
              <w10:wrap type="square" side="largest"/>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w:drawing>
        <wp:inline distT="0" distB="0" distL="0" distR="0">
          <wp:extent cx="4343400" cy="647700"/>
          <wp:effectExtent l="0" t="0" r="0" b="0"/>
          <wp:docPr id="3" name="图片 3" descr="0141341712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4134171215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43400" cy="647700"/>
                  </a:xfrm>
                  <a:prstGeom prst="rect">
                    <a:avLst/>
                  </a:prstGeom>
                  <a:solidFill>
                    <a:srgbClr val="FFFFFF"/>
                  </a:solidFill>
                  <a:ln>
                    <a:noFill/>
                  </a:ln>
                  <a:effectLst/>
                </pic:spPr>
              </pic:pic>
            </a:graphicData>
          </a:graphic>
        </wp:inline>
      </w:drawing>
    </w:r>
    <w:r>
      <w:rPr>
        <w:rFonts w:hint="eastAsia"/>
        <w:b/>
        <w:sz w:val="24"/>
      </w:rPr>
      <w:t>研究所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E2C"/>
    <w:rsid w:val="000E5154"/>
    <w:rsid w:val="000F371A"/>
    <w:rsid w:val="0012356C"/>
    <w:rsid w:val="001C1FC2"/>
    <w:rsid w:val="001D4A9A"/>
    <w:rsid w:val="00212FE7"/>
    <w:rsid w:val="00293230"/>
    <w:rsid w:val="002C2C71"/>
    <w:rsid w:val="003B7B20"/>
    <w:rsid w:val="00423CD1"/>
    <w:rsid w:val="004C6700"/>
    <w:rsid w:val="004D5BD2"/>
    <w:rsid w:val="004D5EAC"/>
    <w:rsid w:val="004E76CE"/>
    <w:rsid w:val="004F7FFA"/>
    <w:rsid w:val="00525381"/>
    <w:rsid w:val="00533C3E"/>
    <w:rsid w:val="005579C3"/>
    <w:rsid w:val="00577396"/>
    <w:rsid w:val="00592B06"/>
    <w:rsid w:val="00635AE0"/>
    <w:rsid w:val="00642BBB"/>
    <w:rsid w:val="007E13BC"/>
    <w:rsid w:val="00944398"/>
    <w:rsid w:val="00956E05"/>
    <w:rsid w:val="00977AD7"/>
    <w:rsid w:val="009D7439"/>
    <w:rsid w:val="00A2026A"/>
    <w:rsid w:val="00A968EA"/>
    <w:rsid w:val="00AC565B"/>
    <w:rsid w:val="00AF5C20"/>
    <w:rsid w:val="00B5427D"/>
    <w:rsid w:val="00B57BA2"/>
    <w:rsid w:val="00BD402B"/>
    <w:rsid w:val="00C307B2"/>
    <w:rsid w:val="00C37202"/>
    <w:rsid w:val="00C56BD5"/>
    <w:rsid w:val="00CF0B5A"/>
    <w:rsid w:val="00D215DB"/>
    <w:rsid w:val="00D406FC"/>
    <w:rsid w:val="00D711A4"/>
    <w:rsid w:val="00D835F1"/>
    <w:rsid w:val="00DA0DD2"/>
    <w:rsid w:val="00F51399"/>
    <w:rsid w:val="01A17F68"/>
    <w:rsid w:val="09656767"/>
    <w:rsid w:val="099174FC"/>
    <w:rsid w:val="0A57325E"/>
    <w:rsid w:val="0C12090D"/>
    <w:rsid w:val="14E22F0B"/>
    <w:rsid w:val="16714D70"/>
    <w:rsid w:val="18B11A3E"/>
    <w:rsid w:val="18B21305"/>
    <w:rsid w:val="195C02AF"/>
    <w:rsid w:val="1A8E2066"/>
    <w:rsid w:val="1C955016"/>
    <w:rsid w:val="1CAE3AF0"/>
    <w:rsid w:val="1EC70303"/>
    <w:rsid w:val="1F7E29BD"/>
    <w:rsid w:val="20970D76"/>
    <w:rsid w:val="226C1608"/>
    <w:rsid w:val="227F224C"/>
    <w:rsid w:val="23F270CF"/>
    <w:rsid w:val="2A7A4984"/>
    <w:rsid w:val="2D8D3BC9"/>
    <w:rsid w:val="321D62B5"/>
    <w:rsid w:val="341F7FC4"/>
    <w:rsid w:val="353D5E3C"/>
    <w:rsid w:val="384D33C8"/>
    <w:rsid w:val="406C6812"/>
    <w:rsid w:val="430419B8"/>
    <w:rsid w:val="4A29450B"/>
    <w:rsid w:val="4B25247A"/>
    <w:rsid w:val="4D9E7DC0"/>
    <w:rsid w:val="4DA0349C"/>
    <w:rsid w:val="4FCE0CA2"/>
    <w:rsid w:val="5132643B"/>
    <w:rsid w:val="53B809A0"/>
    <w:rsid w:val="578723B2"/>
    <w:rsid w:val="5B922A05"/>
    <w:rsid w:val="5CDE1F17"/>
    <w:rsid w:val="60593F12"/>
    <w:rsid w:val="66714647"/>
    <w:rsid w:val="66CC74E1"/>
    <w:rsid w:val="73C8743F"/>
    <w:rsid w:val="7A3D7229"/>
    <w:rsid w:val="7B9137A7"/>
    <w:rsid w:val="7DFC7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2"/>
      <w:sz w:val="21"/>
      <w:lang w:val="en-US" w:eastAsia="ar-SA"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000000" w:sz="4" w:space="1"/>
      </w:pBdr>
      <w:tabs>
        <w:tab w:val="center" w:pos="4153"/>
        <w:tab w:val="right" w:pos="8306"/>
      </w:tabs>
      <w:snapToGrid w:val="0"/>
      <w:jc w:val="center"/>
    </w:pPr>
    <w:rPr>
      <w:sz w:val="18"/>
    </w:rPr>
  </w:style>
  <w:style w:type="character" w:customStyle="1" w:styleId="6">
    <w:name w:val="页脚 字符"/>
    <w:basedOn w:val="5"/>
    <w:link w:val="2"/>
    <w:qFormat/>
    <w:uiPriority w:val="0"/>
    <w:rPr>
      <w:rFonts w:ascii="Times New Roman" w:hAnsi="Times New Roman" w:eastAsia="宋体" w:cs="Times New Roman"/>
      <w:sz w:val="18"/>
      <w:szCs w:val="20"/>
      <w:lang w:eastAsia="ar-SA"/>
    </w:rPr>
  </w:style>
  <w:style w:type="character" w:customStyle="1" w:styleId="7">
    <w:name w:val="页眉 字符"/>
    <w:basedOn w:val="5"/>
    <w:link w:val="3"/>
    <w:qFormat/>
    <w:uiPriority w:val="0"/>
    <w:rPr>
      <w:rFonts w:ascii="Times New Roman" w:hAnsi="Times New Roman" w:eastAsia="宋体" w:cs="Times New Roman"/>
      <w:sz w:val="18"/>
      <w:szCs w:val="20"/>
      <w:lang w:eastAsia="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845</Words>
  <Characters>4817</Characters>
  <Lines>40</Lines>
  <Paragraphs>11</Paragraphs>
  <TotalTime>25</TotalTime>
  <ScaleCrop>false</ScaleCrop>
  <LinksUpToDate>false</LinksUpToDate>
  <CharactersWithSpaces>5651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2021-04-23T15:55:00Z</dcterms:created>
  <dc:creator>admin</dc:creator>
  <cp:lastModifiedBy>admin</cp:lastModifiedBy>
  <dcterms:modified xsi:type="dcterms:W3CDTF">2022-04-18T00:42:34Z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241ED9DFB688474D48B653619F6A5D07</vt:lpwstr>
  </property>
</Properties>
</file>