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4月15</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美国截至4月9日当周，初请失业金人数 18.5万, 预期值17.1万, 续请失业金人数147.5万, 预期值150万,美国3月 零售销售年率实际值6.88%</w:t>
      </w:r>
    </w:p>
    <w:p>
      <w:pPr>
        <w:jc w:val="left"/>
        <w:rPr>
          <w:rFonts w:hint="eastAsia"/>
          <w:color w:val="auto"/>
        </w:rPr>
      </w:pPr>
      <w:r>
        <w:rPr>
          <w:rFonts w:hint="eastAsia"/>
          <w:color w:val="auto"/>
        </w:rPr>
        <w:t xml:space="preserve">2  欧洲央行行长拉加德：高涨的能源价格降低了需求和生产 ，高涨的能源价格降低了需求和生产，影响的程度取决于俄乌冲突的演变 ，面对高度不确定性，将保持政策的选择性和渐进性 </w:t>
      </w:r>
    </w:p>
    <w:p>
      <w:pPr>
        <w:jc w:val="left"/>
        <w:rPr>
          <w:rFonts w:hint="eastAsia"/>
          <w:color w:val="auto"/>
        </w:rPr>
      </w:pPr>
      <w:r>
        <w:rPr>
          <w:rFonts w:hint="eastAsia"/>
          <w:color w:val="auto"/>
        </w:rPr>
        <w:t>3  欧洲央行公布了最新利率决议，维持三大利率不变，即边际贷款利率仍为0.25%，主要再融资利率仍为0%，存款便利利率仍为-0.5%的历史低位，符合市场预期。此外，欧洲央行计划在4月份以每月400亿欧元，5月份每月300亿欧元，6月份每月200亿欧元的速度执行例行债券购买计划，加快退出债券购买计划。</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财政部长刘昆指出，将实施新的组合式税费支持政策，促进市场主体更好发展起来、活跃起来。最大限度下沉财力，全力保障县区财政平稳运行。</w:t>
      </w:r>
    </w:p>
    <w:p>
      <w:pPr>
        <w:jc w:val="left"/>
        <w:rPr>
          <w:rFonts w:hint="eastAsia"/>
          <w:color w:val="auto"/>
        </w:rPr>
      </w:pPr>
      <w:r>
        <w:rPr>
          <w:rFonts w:hint="eastAsia"/>
          <w:color w:val="auto"/>
        </w:rPr>
        <w:t>2  中国人民银行货币政策司司长孙国峰表示，今年以来，货币政策坚持稳字当头、稳中求进，稳健货币政策灵活适度，政策发力适当靠前，加大金融对实体经济的支持。</w:t>
      </w:r>
    </w:p>
    <w:p>
      <w:pPr>
        <w:jc w:val="left"/>
        <w:rPr>
          <w:rFonts w:hint="eastAsia"/>
          <w:color w:val="auto"/>
        </w:rPr>
      </w:pPr>
      <w:r>
        <w:rPr>
          <w:rFonts w:hint="eastAsia"/>
          <w:color w:val="auto"/>
        </w:rPr>
        <w:t>3  央行金融稳定局局长孙天琦4月14日表示，截至2021年末，全国高风险金融机构316家，数量连续六个季度下降，较峰值压降过半，金融风险处置进入了常态化阶段。</w:t>
      </w:r>
    </w:p>
    <w:p>
      <w:pPr>
        <w:jc w:val="left"/>
        <w:rPr>
          <w:rFonts w:hint="eastAsia"/>
          <w:color w:val="auto"/>
        </w:rPr>
      </w:pPr>
      <w:r>
        <w:rPr>
          <w:rFonts w:hint="eastAsia"/>
          <w:color w:val="auto"/>
        </w:rPr>
        <w:t>4  臧铁伟14日在回答期货和衍生品法草案有关情况时表示，明确防范化解金融风险，维护国家经济安全是本法的立法目的之一。即将提请全国人大常委会会议三审的期货和衍生品法草案将完善对衍生品交易的监管，进一步明确境外机构在境内市场营销活动的管理规则，维护境内交易者合法权益。</w:t>
      </w:r>
    </w:p>
    <w:p>
      <w:pPr>
        <w:jc w:val="left"/>
        <w:rPr>
          <w:rFonts w:hint="eastAsia"/>
          <w:color w:val="auto"/>
        </w:rPr>
      </w:pPr>
      <w:r>
        <w:rPr>
          <w:rFonts w:hint="eastAsia"/>
          <w:color w:val="auto"/>
        </w:rPr>
        <w:t>5  据国家能源局网站，3月份，我国经济持续稳定恢复，全社会用电量持续增长，达到6944亿千瓦时，同比增长3.5%。</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英国伦敦证券交易所</w:t>
      </w:r>
      <w:r>
        <w:rPr>
          <w:rFonts w:hint="eastAsia"/>
          <w:color w:val="auto"/>
        </w:rPr>
        <w:tab/>
      </w:r>
      <w:r>
        <w:rPr>
          <w:rFonts w:hint="eastAsia"/>
          <w:color w:val="auto"/>
        </w:rPr>
        <w:t>耶稣受难日，休市一日。</w:t>
      </w:r>
    </w:p>
    <w:p>
      <w:pPr>
        <w:jc w:val="left"/>
        <w:rPr>
          <w:rFonts w:hint="eastAsia"/>
          <w:color w:val="auto"/>
        </w:rPr>
      </w:pPr>
      <w:r>
        <w:rPr>
          <w:rFonts w:hint="eastAsia"/>
          <w:color w:val="auto"/>
        </w:rPr>
        <w:t>美国纽约交易所</w:t>
      </w:r>
      <w:r>
        <w:rPr>
          <w:rFonts w:hint="eastAsia"/>
          <w:color w:val="auto"/>
        </w:rPr>
        <w:tab/>
      </w:r>
      <w:r>
        <w:rPr>
          <w:rFonts w:hint="eastAsia"/>
          <w:color w:val="auto"/>
        </w:rPr>
        <w:t>耶稣受难日，休市一日。</w:t>
      </w:r>
    </w:p>
    <w:p>
      <w:pPr>
        <w:jc w:val="left"/>
        <w:rPr>
          <w:rFonts w:hint="eastAsia"/>
          <w:color w:val="auto"/>
        </w:rPr>
      </w:pPr>
      <w:r>
        <w:rPr>
          <w:rFonts w:hint="eastAsia"/>
          <w:color w:val="auto"/>
        </w:rPr>
        <w:t>ICE</w:t>
      </w:r>
      <w:r>
        <w:rPr>
          <w:rFonts w:hint="eastAsia"/>
          <w:color w:val="auto"/>
        </w:rPr>
        <w:tab/>
      </w:r>
      <w:r>
        <w:rPr>
          <w:rFonts w:hint="eastAsia"/>
          <w:color w:val="auto"/>
        </w:rPr>
        <w:t>耶稣受难日，旗下布伦特原油期货合约全天交易暂停。</w:t>
      </w:r>
    </w:p>
    <w:p>
      <w:pPr>
        <w:jc w:val="left"/>
        <w:rPr>
          <w:rFonts w:hint="eastAsia"/>
          <w:color w:val="auto"/>
        </w:rPr>
      </w:pPr>
      <w:r>
        <w:rPr>
          <w:rFonts w:hint="eastAsia"/>
          <w:color w:val="auto"/>
        </w:rPr>
        <w:t>CME</w:t>
      </w:r>
      <w:r>
        <w:rPr>
          <w:rFonts w:hint="eastAsia"/>
          <w:color w:val="auto"/>
        </w:rPr>
        <w:tab/>
      </w:r>
      <w:r>
        <w:rPr>
          <w:rFonts w:hint="eastAsia"/>
          <w:color w:val="auto"/>
        </w:rPr>
        <w:t>耶稣受难日，旗下贵金属、美国原油和外汇合约交易全天暂停。</w:t>
      </w:r>
    </w:p>
    <w:p>
      <w:pPr>
        <w:jc w:val="left"/>
        <w:rPr>
          <w:rFonts w:hint="eastAsia"/>
          <w:color w:val="auto"/>
        </w:rPr>
      </w:pPr>
    </w:p>
    <w:p>
      <w:pPr>
        <w:jc w:val="left"/>
        <w:rPr>
          <w:rFonts w:hint="eastAsia"/>
          <w:color w:val="auto"/>
        </w:rPr>
      </w:pPr>
      <w:r>
        <w:rPr>
          <w:rFonts w:hint="eastAsia"/>
          <w:color w:val="auto"/>
        </w:rPr>
        <w:t>21:15</w:t>
      </w:r>
      <w:r>
        <w:rPr>
          <w:rFonts w:hint="eastAsia"/>
          <w:color w:val="auto"/>
        </w:rPr>
        <w:tab/>
      </w:r>
      <w:r>
        <w:rPr>
          <w:rFonts w:hint="eastAsia"/>
          <w:color w:val="auto"/>
        </w:rPr>
        <w:tab/>
      </w:r>
      <w:r>
        <w:rPr>
          <w:rFonts w:hint="eastAsia"/>
          <w:color w:val="auto"/>
        </w:rPr>
        <w:t>美国3月工业产出月率(%)</w:t>
      </w:r>
      <w:r>
        <w:rPr>
          <w:rFonts w:hint="eastAsia"/>
          <w:color w:val="auto"/>
        </w:rPr>
        <w:tab/>
      </w:r>
      <w:r>
        <w:rPr>
          <w:rFonts w:hint="eastAsia"/>
          <w:color w:val="auto"/>
        </w:rPr>
        <w:t>0.5</w:t>
      </w:r>
      <w:r>
        <w:rPr>
          <w:rFonts w:hint="eastAsia"/>
          <w:color w:val="auto"/>
        </w:rPr>
        <w:tab/>
      </w:r>
      <w:r>
        <w:rPr>
          <w:rFonts w:hint="eastAsia"/>
          <w:color w:val="auto"/>
        </w:rPr>
        <w:t>0.4</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A股三大指数高开走高，截至收盘，沪指涨1.22%，报3225.64点，深成指涨1.27%，报11714.62点，创业板指跌0.02%，报2466.29点。沪深两市合计成交额8700.9亿元；北向资金实际净卖出4.98亿元。</w:t>
      </w:r>
    </w:p>
    <w:p>
      <w:pPr>
        <w:jc w:val="left"/>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市场还在炒作降准降息，当前经济发展面临三重压力和总需求不足情况下，采取适时降准的措施，有利于稳定市场预期，增强市场主体信心，改善和扩大总需求，为稳定宏观经济大盘、保持经济运行在合理区间创造了积极条件。但我们需要明确的是正是因为3月中旬至今的连续政策利好，才能使得市场稳定运行在底部区间，否则在外围市场、国内疫情的双重影响下，没有政策支撑市场可能会更差。所以关注方向上，还是在“稳增长”，消费、出口和投资，在市场底未形成之前，节奏很重要，整体控制好仓位，只宜轻仓短线。</w:t>
      </w: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100.31部位；人民币离岸价收贬于6.387。欧美股市美弱欧强。原油上涨继续提振通胀，支撑加息预期，由此压制美股。NYMEX5月原油收涨2.70美元，结算价报每桶106.95美元。有关欧盟官员正在起草禁止进口俄罗斯石油方案的消息令油价得到支撑。芝加哥(CBOT)近月大豆小幅收高，分析师表示，受助于中国需求和长周末前的布仓。CBOT 5月大豆上涨6-1/4美分，结算价报每蒲式耳16.82-1/4美元。7月大豆合约上涨1/4美分，收报每蒲式耳16.65-1/4美元。5月豆油收涨0.80美分，报每磅78.91美分，盘中一度创下79.17美分的合约高位。交投更为活跃的7月豆油上涨0.74美分，结算价报每磅76.89美分。5月豆粕收涨3.2美元，报每短吨461.4美元。交投更活跃的7月豆粕上涨1.4美元，结算价报每短吨455.7美元。美国农业部公布，民间出口商报告向中国出口销售13.2万吨大豆，2021/2022市场年度付运。美国农业部公布的出口销售报告显示，4月7日止当周，美国2021/2022市场年度大豆出口销售净增54.89万吨，较之前一周下滑31%，较前四周均值下滑41%，市场预估为净增30-100万吨。当周美国2022/2023市场年度大豆出口销售净增45.8万吨，市场预估为净增10-50万吨。在全美油籽加工商协会（NOPA）本周五公布月报前，受访分析师预期，受压榨利润可观以及豆粕需求强劲提振，美国3月大豆压榨量料创同期纪录高位。分析师平均预期，美国3月大豆压榨量料为1.81991亿蒲式耳。交易商还关注阿根廷出口。周三，阿根廷的粮食卡车司机、行业组织和政府官员未能在结束罢工的谈判中取得突破。由于交易商在为期三天的假日周末前轧平仓位，交易不时出现波动。包括CBOT在内的美国市场将周五因耶稣受难日假期休市，但联邦政府并不放假。</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框架如前，美豆高位区间演绎结构性波动，近强远弱，油粕比攀升。大连盘被动跟随。9月油粕比在2.76；粕5－9逆差做扩至135点。粕9日内仍看围绕3900的波动，宜灵活。　　</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auto"/>
                <w:lang w:eastAsia="zh-CN"/>
              </w:rPr>
              <w:t>（</w:t>
            </w:r>
            <w:r>
              <w:rPr>
                <w:rFonts w:hint="eastAsia"/>
                <w:b/>
                <w:color w:val="FF0000"/>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美棉冲高收阴线，7月合约价格140美分，K线呈十字形。郑棉延续震荡，9月最新价格21255元。外盘消息:昨晚出口签约报告表现不好，净签约1.3万吨，取消签约0.9万吨，装运7.5万吨，环比回落6%。印度棉花年度2021.10-2022.9）印度允许国内纺织企业在9月30日之前免税进口42.5万吨棉花，以保障其用棉需求。美国EMOT M到港价154.35分/磅（+4），印度S-6 1-1/8到港价159美分/磅（+0）。国内消息：下游订单稀少，加之各地疫情防控形势仍然严峻，安徽，江苏，山东等多地小型纺织企业停产明显增多，棉纱市场基本处于有价无市状态。棉花现货指数CCI3128B报价至22715元/吨（-17），期现价差-1200（05合约收盘价-现货价），涤纶短纤报价7700元/吨(+80)，黏胶短纤报价14100元/吨（+0）；CY Index C32S报价28675元/吨（-30），FCY Index C32S(进口棉纱价格指数)报价31802元/吨（+67）。 宏观消息：周三召开国务院常务会议，进一步增加了市场对于降准的预期。综上，防疫排首位，对消费需求和生产订单的影响很大，价格走势上外强内弱延续</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操作上，日内灵活，中长线空单续持，逢反弹加仓，防守22000元。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FF0000"/>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bookmarkStart w:id="0" w:name="_GoBack"/>
      <w:bookmarkEnd w:id="0"/>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钢材周四夜盘价格震荡上行，螺纹2210合约收于5040，热卷2210合约收于5186。现货方面，14日唐山普方坯出厂价报4780（平），上海地区螺纹钢现货价格(HRB400 20mm)5060元（平），热卷现货价格(4.75mm)5160元（+40）。</w:t>
            </w:r>
          </w:p>
          <w:p>
            <w:pPr>
              <w:widowControl/>
              <w:suppressAutoHyphens w:val="0"/>
              <w:ind w:firstLine="630" w:firstLineChars="300"/>
              <w:jc w:val="left"/>
              <w:rPr>
                <w:rFonts w:hint="eastAsia"/>
                <w:color w:val="auto"/>
              </w:rPr>
            </w:pPr>
            <w:r>
              <w:rPr>
                <w:rFonts w:hint="eastAsia"/>
                <w:color w:val="auto"/>
              </w:rPr>
              <w:t>央行召开2022年一季度金融统计数据新闻发布会，中国人民银行货币政策司司长孙国峰表示，适时运用降准等货币政策工具，进一步加大金融对实体经济支持力度。</w:t>
            </w:r>
          </w:p>
          <w:p>
            <w:pPr>
              <w:widowControl/>
              <w:suppressAutoHyphens w:val="0"/>
              <w:ind w:firstLine="630" w:firstLineChars="300"/>
              <w:jc w:val="left"/>
              <w:rPr>
                <w:rFonts w:hint="eastAsia"/>
                <w:color w:val="auto"/>
              </w:rPr>
            </w:pPr>
            <w:r>
              <w:rPr>
                <w:rFonts w:hint="eastAsia"/>
                <w:color w:val="auto"/>
              </w:rPr>
              <w:t>据mysteel数据，本周，钢材总库存量2334.47万吨，周环比减少6.95万吨。其中，钢厂库存量685.14万吨，周环比增加33.77万吨；钢材社会库存量1649.33万吨，周环比减少40.72万吨。</w:t>
            </w:r>
          </w:p>
          <w:p>
            <w:pPr>
              <w:widowControl/>
              <w:suppressAutoHyphens w:val="0"/>
              <w:ind w:firstLine="630" w:firstLineChars="300"/>
              <w:jc w:val="left"/>
              <w:rPr>
                <w:rFonts w:hint="eastAsia"/>
                <w:color w:val="auto"/>
              </w:rPr>
            </w:pPr>
            <w:r>
              <w:rPr>
                <w:rFonts w:hint="eastAsia"/>
                <w:color w:val="auto"/>
              </w:rPr>
              <w:t xml:space="preserve"> 本周，唐山地区126座高炉中有60座检修（含长期停产），检修高炉容积合计44194m³；周影响产量约93.56万吨，周度产能利用率为70.64%，周环比上升0.33%，月环比上升12.9%，年同比上升11.71%。唐山主要仓库及港口同口径钢坯库存63.55万吨，周环比增加4.27万吨。</w:t>
            </w:r>
          </w:p>
          <w:p>
            <w:pPr>
              <w:widowControl/>
              <w:suppressAutoHyphens w:val="0"/>
              <w:ind w:firstLine="630" w:firstLineChars="300"/>
              <w:jc w:val="left"/>
              <w:rPr>
                <w:rFonts w:hint="eastAsia"/>
                <w:color w:val="auto"/>
              </w:rPr>
            </w:pPr>
            <w:r>
              <w:rPr>
                <w:rFonts w:hint="eastAsia"/>
                <w:color w:val="auto"/>
              </w:rPr>
              <w:t>本周，40家独立电弧炉建筑钢材钢厂平均成本为5035元/吨，环比上周下降43元/吨。平均利润为35元/吨，谷电利润为135元/吨，环比上周下降20元/吨。</w:t>
            </w:r>
          </w:p>
          <w:p>
            <w:pPr>
              <w:widowControl/>
              <w:suppressAutoHyphens w:val="0"/>
              <w:ind w:firstLine="630" w:firstLineChars="300"/>
              <w:jc w:val="left"/>
              <w:rPr>
                <w:rFonts w:hint="eastAsia" w:eastAsia="宋体"/>
                <w:color w:val="auto"/>
                <w:lang w:val="en-US" w:eastAsia="zh-CN"/>
              </w:rPr>
            </w:pPr>
            <w:r>
              <w:rPr>
                <w:rFonts w:hint="eastAsia"/>
                <w:color w:val="auto"/>
              </w:rPr>
              <w:t>本周钢材产量基本持平，消费端较上周有所恢复，钢厂库存累积社库减少，钢材总库存小幅回落。国家宏观层面宽松托底的政策预计将保持，专项债建筑项目额度已全部下达，财政手段同样在发力。下游汽车3月产销数据受到疫情影响均不及往年同期，房地产政策则表现为持续的宽松，4月后继续有取消限购限贷政策出台。整体看钢材处在弱现实强预期的状态中，后续产量方面预计会随着疫情区域解封有所回升，消费的弱势或持续。</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预计钢材价格表现高位宽幅震荡，建议短线操作或观望。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上涨5-17。现青岛港PB粉993涨13，超特粉735涨15；曹妃甸港PB粉1005涨14，超特粉741涨9；天津港PB粉1013涨13，混合粉847涨17；江内港PB粉1023涨9，超特粉759涨12；鲅鱼圈港PB粉1041涨7；防城港港PB粉1010涨5。</w:t>
            </w:r>
          </w:p>
          <w:p>
            <w:pPr>
              <w:widowControl/>
              <w:suppressAutoHyphens w:val="0"/>
              <w:jc w:val="left"/>
              <w:rPr>
                <w:rFonts w:hint="eastAsia"/>
                <w:color w:val="auto"/>
              </w:rPr>
            </w:pPr>
            <w:r>
              <w:rPr>
                <w:rFonts w:hint="eastAsia"/>
                <w:color w:val="auto"/>
              </w:rPr>
              <w:t xml:space="preserve">      央行召开2022年一季度金融统计数据新闻发布会，中国人民银行货币政策司司长孙国峰表示，适时运用降准等货币政策工具，进一步加大金融对实体经济支持力度。3月份以来，由于市场需求减弱，全国已经有一百多个城市的银行根据市场变化和自身经营情况，自主下调了房贷利率，平均幅度在20个到60个基点不等。</w:t>
            </w:r>
          </w:p>
          <w:p>
            <w:pPr>
              <w:widowControl/>
              <w:suppressAutoHyphens w:val="0"/>
              <w:jc w:val="left"/>
              <w:rPr>
                <w:rFonts w:hint="eastAsia"/>
                <w:color w:val="auto"/>
              </w:rPr>
            </w:pPr>
            <w:r>
              <w:rPr>
                <w:rFonts w:hint="eastAsia"/>
                <w:color w:val="auto"/>
              </w:rPr>
              <w:t xml:space="preserve">      本周，唐山地区126座高炉中有60座检修（含长期停产），检修高炉容积合计44194m³；周影响产量约93.56万吨，周度产能利用率为70.64%，周环比上升0.33%，月环比上升12.9%，年同比上升11.71%。唐山主要仓库及港口同口径钢坯库存63.55万吨，周环比增加4.27万吨。唐山及周边地区30家样本企业钢坯日外卖量约4.34万吨，周环比增加1.04万吨。</w:t>
            </w:r>
          </w:p>
          <w:p>
            <w:pPr>
              <w:widowControl/>
              <w:suppressAutoHyphens w:val="0"/>
              <w:jc w:val="left"/>
              <w:rPr>
                <w:rFonts w:hint="eastAsia" w:eastAsia="宋体"/>
                <w:color w:val="auto"/>
                <w:lang w:val="en-US" w:eastAsia="zh-CN"/>
              </w:rPr>
            </w:pPr>
            <w:r>
              <w:rPr>
                <w:rFonts w:hint="eastAsia"/>
                <w:color w:val="auto"/>
              </w:rPr>
              <w:t xml:space="preserve">     铁矿石市场延续高位震荡态势，稳增长政策预期持续加强，当前钢厂高炉仍处于复产过程中，铁水产量仍有上行空间，港口库存保持去库状态，铁矿石供需边际改善，但疫情扰动下终端需求持续疲弱和钢铁低利润，使得矿石价格上方有一定承压，整体表现为高位震荡</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建议短线交易。</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FF0000"/>
                <w:lang w:eastAsia="zh-CN"/>
              </w:rPr>
              <w:t>杨俊林</w:t>
            </w:r>
            <w:r>
              <w:rPr>
                <w:rFonts w:hint="eastAsia"/>
                <w:b/>
                <w:color w:val="auto"/>
                <w:lang w:eastAsia="zh-CN"/>
              </w:rPr>
              <w:t>)</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现货市场，双焦价格稳中向好。山西介休1.3硫主焦2600元/吨，蒙5金泉提货价2950元/吨，澳煤到岸价489美元/吨（+24）；吕梁准一出厂价3550元/吨，唐山二级焦到厂价3650元/吨，青岛港准一焦平仓价3800元/吨。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各地产销，山西由于清徐县30余人物流工作人员核酸检测呈阳性，疫情管控再次升级，区域内运输依旧受阻，且各企业通行证办理积极性较弱，煤矿发货受限，矿方库存积累；内蒙古乌海地区昨日新增一例阳性患者，但对当地生产及运输暂无影响，不过本地环保及查超产力度较强，原煤产量普遍偏低。进口方面，甘其毛都口岸发现2例核酸初筛阳性人员，目前口岸暂停通关，满都拉口岸因货物运输国际道路运输许可证到期，现暂停蒙方车辆通关；海运煤方面，受欧洲、日本等国暂停采购俄罗斯煤影响，终端采购纷纷涌向澳洲、印尼以及南非等市场，澳煤价格再度回升。下游钢厂方面，山西通往河北部分地区暂时不需要额外通行证，司机可以直接下高速，随着物流好转，下游采购积极性增加。</w:t>
            </w:r>
          </w:p>
          <w:p>
            <w:pPr>
              <w:widowControl/>
              <w:suppressAutoHyphens w:val="0"/>
              <w:ind w:firstLine="630" w:firstLineChars="300"/>
              <w:jc w:val="left"/>
              <w:rPr>
                <w:rFonts w:hint="eastAsia"/>
                <w:color w:val="auto"/>
              </w:rPr>
            </w:pPr>
            <w:r>
              <w:rPr>
                <w:rFonts w:hint="eastAsia"/>
                <w:color w:val="auto"/>
              </w:rPr>
              <w:t>本周焦企开工下滑，钢厂采购积极性回升，焦炭库存继续下滑。独立焦企库存145.3万吨，增31.1，钢厂焦炭库存651.8万吨，减43.2，港口焦炭库存299.6万吨，减7.2。</w:t>
            </w:r>
          </w:p>
          <w:p>
            <w:pPr>
              <w:widowControl/>
              <w:suppressAutoHyphens w:val="0"/>
              <w:ind w:firstLine="630" w:firstLineChars="300"/>
              <w:jc w:val="left"/>
              <w:rPr>
                <w:rFonts w:hint="eastAsia"/>
                <w:color w:val="auto"/>
              </w:rPr>
            </w:pPr>
            <w:r>
              <w:rPr>
                <w:rFonts w:hint="eastAsia"/>
                <w:color w:val="auto"/>
              </w:rPr>
              <w:t>本周焦煤库存小幅下滑。独立焦企焦煤库存1182万吨，减58.8，钢厂焦煤库存855.5万吨，减6.8，港口焦煤库存628.4万吨，增13.1，煤矿库存258.51万吨，增15.04。</w:t>
            </w:r>
          </w:p>
          <w:p>
            <w:pPr>
              <w:widowControl/>
              <w:suppressAutoHyphens w:val="0"/>
              <w:ind w:firstLine="630" w:firstLineChars="300"/>
              <w:jc w:val="left"/>
              <w:rPr>
                <w:rFonts w:hint="eastAsia"/>
                <w:color w:val="auto"/>
              </w:rPr>
            </w:pPr>
            <w:r>
              <w:rPr>
                <w:rFonts w:hint="eastAsia"/>
                <w:color w:val="auto"/>
              </w:rPr>
              <w:t xml:space="preserve"> 为有效防范化解煤矿系统性重大安全风险，山西省应急管理厅日前下发通知，要求采取有力措施，强化监管执法，严格管控煤矿采掘接续紧张。通知要求，强化生产合理布局，严禁超能力超强度超定员组织生产。</w:t>
            </w:r>
          </w:p>
          <w:p>
            <w:pPr>
              <w:widowControl/>
              <w:suppressAutoHyphens w:val="0"/>
              <w:ind w:firstLine="630" w:firstLineChars="300"/>
              <w:jc w:val="left"/>
              <w:rPr>
                <w:rFonts w:hint="eastAsia"/>
                <w:color w:val="auto"/>
              </w:rPr>
            </w:pPr>
            <w:r>
              <w:rPr>
                <w:rFonts w:hint="eastAsia"/>
                <w:color w:val="auto"/>
              </w:rPr>
              <w:t>大商将焦煤期货山西省的指定交割仓库升贴水由-200元/吨调整为0元/吨，将河北省唐山市、山东省青岛市、山东省日照市、江苏省连云港市、天津市等地的指定交割仓库升贴水由0元/吨调整为170元/吨。上述调整自JM2304合约起实施。</w:t>
            </w:r>
          </w:p>
          <w:p>
            <w:pPr>
              <w:widowControl/>
              <w:suppressAutoHyphens w:val="0"/>
              <w:ind w:firstLine="630" w:firstLineChars="300"/>
              <w:jc w:val="left"/>
              <w:rPr>
                <w:rFonts w:hint="eastAsia" w:eastAsia="宋体"/>
                <w:color w:val="auto"/>
                <w:lang w:val="en-US" w:eastAsia="zh-CN"/>
              </w:rPr>
            </w:pPr>
            <w:r>
              <w:rPr>
                <w:rFonts w:hint="eastAsia"/>
                <w:color w:val="auto"/>
              </w:rPr>
              <w:t>近期政策加大对物流通畅工作的支持，焦炭补库预期回升，盘面低位支撑增强，继续反弹消化下一轮提涨预期；但仍需关注现货节奏，目前物流限制仍在，焦炭需求受抑制，且钢厂利润低位，也将压制焦炭成本，提涨预期也面临被修正的可能。</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盘面高位波动性较强，观望或短线。</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偏强运行，沪铝主力月2205合约收至21440元/吨，涨300元，涨幅1.42%。现货方面，14日长江现货成交价格21430-21470元/吨，涨400元，贴水25-贴水15；广东南储报21500-21560元/吨，涨410元；华通报21490-21530元/吨，涨400元。持货商跟随盘面调价，接货方补货积极性一般，交投氛围表现平淡，整体成交量受限。</w:t>
            </w:r>
          </w:p>
          <w:p>
            <w:pPr>
              <w:widowControl/>
              <w:suppressAutoHyphens w:val="0"/>
              <w:ind w:firstLine="630" w:firstLineChars="300"/>
              <w:jc w:val="left"/>
              <w:rPr>
                <w:rFonts w:hint="eastAsia"/>
                <w:color w:val="auto"/>
                <w:lang w:val="en-US" w:eastAsia="zh-CN"/>
              </w:rPr>
            </w:pPr>
            <w:r>
              <w:rPr>
                <w:rFonts w:hint="eastAsia"/>
                <w:color w:val="auto"/>
                <w:lang w:val="en-US" w:eastAsia="zh-CN"/>
              </w:rPr>
              <w:t>14日，SMM统计国内电解铝社会库存106.3万吨，较上周四库存总量减少0.3万吨，较本周一库存统计量小幅增0.2万吨。LME铝库存合计下降4275吨至608000吨,处于2005年11月以来最低水平。本周铝下游龙头加工企业开工率环比上升1.2个百分点至67.8%。</w:t>
            </w:r>
          </w:p>
          <w:p>
            <w:pPr>
              <w:widowControl/>
              <w:suppressAutoHyphens w:val="0"/>
              <w:ind w:firstLine="630" w:firstLineChars="300"/>
              <w:jc w:val="left"/>
              <w:rPr>
                <w:color w:val="auto"/>
              </w:rPr>
            </w:pPr>
            <w:r>
              <w:rPr>
                <w:rFonts w:hint="eastAsia"/>
                <w:color w:val="auto"/>
                <w:lang w:val="en-US" w:eastAsia="zh-CN"/>
              </w:rPr>
              <w:t>当前西方国家继续对俄罗斯实施新的制裁，俄铝向外出口受阻，欧洲天然气价格维持高位，海外供应忧虑持续。国内云南、广西等地电解铝复产及新增产能投产提速，产量有望赶超去年同期。下游前期因疫情停产的企业生产逐步恢复，旺季未到但消费预期仍较为乐观，且当前出口表现强劲，提振铝价走势。</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操作上偏多思路对待，继续关注疫情的影响。</w:t>
            </w:r>
          </w:p>
          <w:p>
            <w:pPr>
              <w:rPr>
                <w:rFonts w:hint="eastAsia"/>
                <w:b/>
                <w:color w:val="auto"/>
                <w:lang w:eastAsia="zh-CN"/>
              </w:rPr>
            </w:pPr>
          </w:p>
          <w:p>
            <w:pPr>
              <w:rPr>
                <w:b/>
                <w:color w:val="auto"/>
                <w:lang w:eastAsia="zh-CN"/>
              </w:rPr>
            </w:pPr>
            <w:r>
              <w:rPr>
                <w:rFonts w:hint="eastAsia"/>
                <w:b/>
                <w:color w:val="FF0000"/>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欧央行维持三大利率不变，美元指数大涨，不过通胀形势的高涨也使得欧央行将会在下半年采取停止资产购买和加息的动作。IMF表示将下调今明两年全球经济增长的预期，不利于天胶宏观需求的改善。国内疫情防控形势持续偏紧，经济压力较大，预期很快将会有降准甚至降息的动作。近期俄乌形势再度恶化引发波澜，昨日国内工业品期货指数继续偏强表现，对胶价仍以波动影响。行业方面，云南西双版纳产区整体开割率达70%以上，昨日干胶厂胶水收购价在11.5-12，略有回落，近期海南产区南部地区零星开割，原料胶水产出不多，主产区儋州、白沙等地或在4月底5月初开割，制全乳胶水收购价在12700附近。本周国内轮胎开工率有所回升，不过整体依旧处于近年偏低水平，尤其全钢胎开工率很低，目前轮胎企业库存压力大，内需整体不佳。国内现货市场主流价格跟随期货盘面窄幅调整，局部地区交投运输仍有所受限，听闻局部下游工厂备货积极性有所提升，上海20年SCRWF主流价格在12700—12800元/吨；上海地区SVR3L参考价格在12800—12850元/吨；云南市场国产10#胶参考价格12000—12100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技术面：昨日RU2209小幅反弹，多空持仓下降明显，体现出市场矛盾趋于缓和，不利于胶价的波动，下方13300-13400仍具有较强支撑，不过上方13550-13600同样有较大压力，胶价短期料保持区间波动</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操作建议：短线观望或保持日内波段交易思路，中线投资者持多者亦可考虑高平低补。</w:t>
            </w:r>
          </w:p>
          <w:p>
            <w:pPr>
              <w:rPr>
                <w:rFonts w:hint="eastAsia"/>
                <w:b/>
                <w:color w:val="auto"/>
                <w:lang w:eastAsia="zh-CN"/>
              </w:rPr>
            </w:pPr>
          </w:p>
          <w:p>
            <w:pPr>
              <w:rPr>
                <w:b/>
                <w:color w:val="auto"/>
                <w:lang w:eastAsia="zh-CN"/>
              </w:rPr>
            </w:pPr>
            <w:r>
              <w:rPr>
                <w:rFonts w:hint="eastAsia"/>
                <w:b/>
                <w:color w:val="auto"/>
                <w:lang w:eastAsia="zh-CN"/>
              </w:rPr>
              <w:t>（王</w:t>
            </w:r>
            <w:r>
              <w:rPr>
                <w:rFonts w:hint="eastAsia"/>
                <w:b/>
                <w:color w:val="FF0000"/>
                <w:lang w:eastAsia="zh-CN"/>
              </w:rPr>
              <w:t>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惠誉：如果布伦特原油价格平均为100美元/桶，沙特阿拉伯的石油产量平均将为1070万桶/日；如果价格为80美元/桶，产量为1110万桶/日。4月13日，EIA报告显示，除却战略储备的商业原油库存增加938.2万桶至4.218亿桶，增加2.3%；上周美国国内原油产量维持在1180万桶/日；美国上周原油出口减少151.3万桶/日至218万桶/日。IEA：中国的疫情封控打击原油需求，俄罗斯4月石油供应量将下降150万桶/日。俄罗斯3月份石脑油出口大幅下降。从3月1日至今，德克萨斯州的燃气发电量平均略低于300亿立方英尺/日，处于2011年以来六周的最低水平。4月12日，欧佩克月报显示，欧佩克3月原油产出增加5.7万桶/日至2856万桶/日；二手资料显示，沙特3月原油产量增加5.4万桶/日，至1026.2万桶/日；阿联酋3月原油产量增加2.3万桶/日，至298.3万桶/日。美国能源政策辩论：共和党表示拜登政策使生产商不愿投资更多资金，而民主党人则表示该行业有责任将利润分配给更多的产出而不是股东回报。拜登签署暂停与俄罗斯正常贸易地位的法案，提高了从俄罗斯进口金属的关税，立法允许美国在2024年之前征收更高的关税。美国银行：维持2022-2023年布伦特原油平均价格102美元/桶的预测，将布伦特原油夏季峰值价格降至120美元/桶。欧美市场，汽油裂解依然坚挺，柴油和航煤裂解回落，但仍处于同期高位，新加坡市场，汽油、柴油、航煤裂解依然保持强势，在历史高位徘徊。</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欧盟起草法案禁止从俄罗斯进口石油，尽管该法案难以实施，但是加剧了市场对供应紧缺的担忧，国际油价大涨近3%，本周欧美原油期货净涨近9%。5月WTI涨2.7报106.95美元/桶，涨幅2.6%；6月布伦特涨2.92报111.7美元/桶，涨幅2.7%。</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操作思路以震荡偏空为主，关注布伦特原油震荡区间105-120美元/桶，注意止盈止损。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A57325E"/>
    <w:rsid w:val="0C12090D"/>
    <w:rsid w:val="14E22F0B"/>
    <w:rsid w:val="16714D70"/>
    <w:rsid w:val="18B11A3E"/>
    <w:rsid w:val="18B21305"/>
    <w:rsid w:val="195C02AF"/>
    <w:rsid w:val="1A8E2066"/>
    <w:rsid w:val="1C955016"/>
    <w:rsid w:val="1CAE3AF0"/>
    <w:rsid w:val="1F7E29BD"/>
    <w:rsid w:val="20970D76"/>
    <w:rsid w:val="227F224C"/>
    <w:rsid w:val="23F270CF"/>
    <w:rsid w:val="2A7A4984"/>
    <w:rsid w:val="2D8D3BC9"/>
    <w:rsid w:val="321D62B5"/>
    <w:rsid w:val="353D5E3C"/>
    <w:rsid w:val="384D33C8"/>
    <w:rsid w:val="406C6812"/>
    <w:rsid w:val="430419B8"/>
    <w:rsid w:val="4A29450B"/>
    <w:rsid w:val="4B25247A"/>
    <w:rsid w:val="4D9E7DC0"/>
    <w:rsid w:val="4DA0349C"/>
    <w:rsid w:val="4FCE0CA2"/>
    <w:rsid w:val="5132643B"/>
    <w:rsid w:val="53B809A0"/>
    <w:rsid w:val="578723B2"/>
    <w:rsid w:val="5B922A05"/>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15</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2022-04-15T00:44:35Z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