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4月13</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jc w:val="left"/>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世贸组织预测，俄乌冲突可能导致今年全球贸易增速降至2.4%到3%之间，而去年10月该组织预测今年全球贸易增速可达4.7%。</w:t>
      </w:r>
    </w:p>
    <w:p>
      <w:pPr>
        <w:jc w:val="left"/>
        <w:rPr>
          <w:rFonts w:hint="eastAsia"/>
          <w:color w:val="auto"/>
        </w:rPr>
      </w:pPr>
      <w:r>
        <w:rPr>
          <w:rFonts w:hint="eastAsia"/>
          <w:color w:val="auto"/>
        </w:rPr>
        <w:t>2  美国劳工统计局公布数据显示，美国3月CPI同比增8.5%，增速再次加快，为1981年12月来的最快增速，高于市场的预期8.4%，也超前值的7.9%。CPI同比增速连续第6个月超过6%。</w:t>
      </w:r>
    </w:p>
    <w:p>
      <w:pPr>
        <w:jc w:val="left"/>
        <w:rPr>
          <w:rFonts w:hint="eastAsia"/>
          <w:color w:val="auto"/>
        </w:rPr>
      </w:pPr>
      <w:r>
        <w:rPr>
          <w:rFonts w:hint="eastAsia"/>
          <w:color w:val="auto"/>
        </w:rPr>
        <w:t>3  美国国家经济委员会主任表示，面临通胀高企、疫情防控措施带来的供应链挑战，以及俄乌冲突等问题，美国可能会遇到困难。其预计到今年年底，通胀率应该会降低。</w:t>
      </w:r>
    </w:p>
    <w:p>
      <w:pPr>
        <w:jc w:val="left"/>
        <w:rPr>
          <w:rFonts w:hint="eastAsia"/>
          <w:color w:val="auto"/>
        </w:rPr>
      </w:pPr>
      <w:r>
        <w:rPr>
          <w:rFonts w:hint="eastAsia"/>
          <w:color w:val="auto"/>
        </w:rPr>
        <w:t>4  ZEW经济研究中心调查显示，德国经济景气指数从3月份的-39.3降至-41.0，高出路透社预期值-48.0。投资者对当前的经济形势感到悲观，并认为情况将继续恶化。</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国家发改委：将继续加强生活物资预警和产销衔接，努力保持物流畅通</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11:00</w:t>
      </w:r>
      <w:r>
        <w:rPr>
          <w:rFonts w:hint="eastAsia"/>
          <w:color w:val="auto"/>
        </w:rPr>
        <w:tab/>
      </w:r>
      <w:r>
        <w:rPr>
          <w:rFonts w:hint="eastAsia"/>
          <w:color w:val="auto"/>
        </w:rPr>
        <w:t>中国3月贸易帐-人民币计价(亿元)</w:t>
      </w:r>
      <w:r>
        <w:rPr>
          <w:rFonts w:hint="eastAsia"/>
          <w:color w:val="auto"/>
        </w:rPr>
        <w:tab/>
      </w:r>
      <w:r>
        <w:rPr>
          <w:rFonts w:hint="eastAsia"/>
          <w:color w:val="auto"/>
        </w:rPr>
        <w:t>7388.0</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中国3月出口总额-人民币计价(亿元)</w:t>
      </w:r>
      <w:r>
        <w:rPr>
          <w:rFonts w:hint="eastAsia"/>
          <w:color w:val="auto"/>
        </w:rPr>
        <w:tab/>
      </w:r>
      <w:r>
        <w:rPr>
          <w:rFonts w:hint="eastAsia"/>
          <w:color w:val="auto"/>
        </w:rPr>
        <w:t>34716.1</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中国3月进口总额-人民币计价(亿元)</w:t>
      </w:r>
      <w:r>
        <w:rPr>
          <w:rFonts w:hint="eastAsia"/>
          <w:color w:val="auto"/>
        </w:rPr>
        <w:tab/>
      </w:r>
      <w:r>
        <w:rPr>
          <w:rFonts w:hint="eastAsia"/>
          <w:color w:val="auto"/>
        </w:rPr>
        <w:t>27328.1</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中国3月进口年率-人民币计价(%)</w:t>
      </w:r>
      <w:r>
        <w:rPr>
          <w:rFonts w:hint="eastAsia"/>
          <w:color w:val="auto"/>
        </w:rPr>
        <w:tab/>
      </w:r>
      <w:r>
        <w:rPr>
          <w:rFonts w:hint="eastAsia"/>
          <w:color w:val="auto"/>
        </w:rPr>
        <w:t>12.9</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中国3月出口年率-人民币计价(%)</w:t>
      </w:r>
      <w:r>
        <w:rPr>
          <w:rFonts w:hint="eastAsia"/>
          <w:color w:val="auto"/>
        </w:rPr>
        <w:tab/>
      </w:r>
      <w:r>
        <w:rPr>
          <w:rFonts w:hint="eastAsia"/>
          <w:color w:val="auto"/>
        </w:rPr>
        <w:t>13.6</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11:00</w:t>
      </w:r>
      <w:r>
        <w:rPr>
          <w:rFonts w:hint="eastAsia"/>
          <w:color w:val="auto"/>
        </w:rPr>
        <w:tab/>
      </w:r>
      <w:r>
        <w:rPr>
          <w:rFonts w:hint="eastAsia"/>
          <w:color w:val="auto"/>
        </w:rPr>
        <w:t>中国3月贸易帐-美元计价(亿美元)</w:t>
      </w:r>
      <w:r>
        <w:rPr>
          <w:rFonts w:hint="eastAsia"/>
          <w:color w:val="auto"/>
        </w:rPr>
        <w:tab/>
      </w:r>
      <w:r>
        <w:rPr>
          <w:rFonts w:hint="eastAsia"/>
          <w:color w:val="auto"/>
        </w:rPr>
        <w:t>1159</w:t>
      </w:r>
      <w:r>
        <w:rPr>
          <w:rFonts w:hint="eastAsia"/>
          <w:color w:val="auto"/>
        </w:rPr>
        <w:tab/>
      </w:r>
      <w:r>
        <w:rPr>
          <w:rFonts w:hint="eastAsia"/>
          <w:color w:val="auto"/>
        </w:rPr>
        <w:t>2240</w:t>
      </w:r>
      <w:r>
        <w:rPr>
          <w:rFonts w:hint="eastAsia"/>
          <w:color w:val="auto"/>
        </w:rPr>
        <w:tab/>
      </w:r>
      <w:r>
        <w:rPr>
          <w:rFonts w:hint="eastAsia"/>
          <w:color w:val="auto"/>
        </w:rPr>
        <w:tab/>
      </w:r>
    </w:p>
    <w:p>
      <w:pPr>
        <w:jc w:val="left"/>
        <w:rPr>
          <w:rFonts w:hint="eastAsia"/>
          <w:color w:val="auto"/>
        </w:rPr>
      </w:pPr>
      <w:r>
        <w:rPr>
          <w:rFonts w:hint="eastAsia"/>
          <w:color w:val="auto"/>
        </w:rPr>
        <w:t>中国3月出口年率-美元计价(%)</w:t>
      </w:r>
      <w:r>
        <w:rPr>
          <w:rFonts w:hint="eastAsia"/>
          <w:color w:val="auto"/>
        </w:rPr>
        <w:tab/>
      </w:r>
      <w:r>
        <w:rPr>
          <w:rFonts w:hint="eastAsia"/>
          <w:color w:val="auto"/>
        </w:rPr>
        <w:t>16.3</w:t>
      </w:r>
      <w:r>
        <w:rPr>
          <w:rFonts w:hint="eastAsia"/>
          <w:color w:val="auto"/>
        </w:rPr>
        <w:tab/>
      </w:r>
      <w:r>
        <w:rPr>
          <w:rFonts w:hint="eastAsia"/>
          <w:color w:val="auto"/>
        </w:rPr>
        <w:t>13</w:t>
      </w:r>
      <w:r>
        <w:rPr>
          <w:rFonts w:hint="eastAsia"/>
          <w:color w:val="auto"/>
        </w:rPr>
        <w:tab/>
      </w:r>
      <w:r>
        <w:rPr>
          <w:rFonts w:hint="eastAsia"/>
          <w:color w:val="auto"/>
        </w:rPr>
        <w:tab/>
      </w:r>
    </w:p>
    <w:p>
      <w:pPr>
        <w:jc w:val="left"/>
        <w:rPr>
          <w:rFonts w:hint="eastAsia"/>
          <w:color w:val="auto"/>
        </w:rPr>
      </w:pPr>
      <w:r>
        <w:rPr>
          <w:rFonts w:hint="eastAsia"/>
          <w:color w:val="auto"/>
        </w:rPr>
        <w:t>中国3月出口总额-美元计价(亿美元)</w:t>
      </w:r>
      <w:r>
        <w:rPr>
          <w:rFonts w:hint="eastAsia"/>
          <w:color w:val="auto"/>
        </w:rPr>
        <w:tab/>
      </w:r>
      <w:r>
        <w:rPr>
          <w:rFonts w:hint="eastAsia"/>
          <w:color w:val="auto"/>
        </w:rPr>
        <w:t>5447.0</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中国3月进口总额-美元计价(亿美元)</w:t>
      </w:r>
      <w:r>
        <w:rPr>
          <w:rFonts w:hint="eastAsia"/>
          <w:color w:val="auto"/>
        </w:rPr>
        <w:tab/>
      </w:r>
      <w:r>
        <w:rPr>
          <w:rFonts w:hint="eastAsia"/>
          <w:color w:val="auto"/>
        </w:rPr>
        <w:t>4287.5</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中国3月进口年率-美元计价(%)</w:t>
      </w:r>
      <w:r>
        <w:rPr>
          <w:rFonts w:hint="eastAsia"/>
          <w:color w:val="auto"/>
        </w:rPr>
        <w:tab/>
      </w:r>
      <w:r>
        <w:rPr>
          <w:rFonts w:hint="eastAsia"/>
          <w:color w:val="auto"/>
        </w:rPr>
        <w:t>15.5</w:t>
      </w:r>
      <w:r>
        <w:rPr>
          <w:rFonts w:hint="eastAsia"/>
          <w:color w:val="auto"/>
        </w:rPr>
        <w:tab/>
      </w:r>
      <w:r>
        <w:rPr>
          <w:rFonts w:hint="eastAsia"/>
          <w:color w:val="auto"/>
        </w:rPr>
        <w:t>8</w:t>
      </w:r>
    </w:p>
    <w:p>
      <w:pPr>
        <w:jc w:val="left"/>
        <w:rPr>
          <w:rFonts w:hint="eastAsia"/>
          <w:color w:val="auto"/>
        </w:rPr>
      </w:pPr>
      <w:r>
        <w:rPr>
          <w:rFonts w:hint="eastAsia"/>
          <w:color w:val="auto"/>
        </w:rPr>
        <w:t>20:30</w:t>
      </w:r>
      <w:r>
        <w:rPr>
          <w:rFonts w:hint="eastAsia"/>
          <w:color w:val="auto"/>
        </w:rPr>
        <w:tab/>
      </w:r>
      <w:r>
        <w:rPr>
          <w:rFonts w:hint="eastAsia"/>
          <w:color w:val="auto"/>
        </w:rPr>
        <w:t>美国3月PPI年率(%)</w:t>
      </w:r>
      <w:r>
        <w:rPr>
          <w:rFonts w:hint="eastAsia"/>
          <w:color w:val="auto"/>
        </w:rPr>
        <w:tab/>
      </w:r>
      <w:r>
        <w:rPr>
          <w:rFonts w:hint="eastAsia"/>
          <w:color w:val="auto"/>
        </w:rPr>
        <w:t>10</w:t>
      </w:r>
      <w:r>
        <w:rPr>
          <w:rFonts w:hint="eastAsia"/>
          <w:color w:val="auto"/>
        </w:rPr>
        <w:tab/>
      </w:r>
      <w:r>
        <w:rPr>
          <w:rFonts w:hint="eastAsia"/>
          <w:color w:val="auto"/>
        </w:rPr>
        <w:t>10.6</w:t>
      </w:r>
      <w:r>
        <w:rPr>
          <w:rFonts w:hint="eastAsia"/>
          <w:color w:val="auto"/>
        </w:rPr>
        <w:tab/>
      </w:r>
      <w:r>
        <w:rPr>
          <w:rFonts w:hint="eastAsia"/>
          <w:color w:val="auto"/>
        </w:rPr>
        <w:tab/>
      </w:r>
    </w:p>
    <w:p>
      <w:pPr>
        <w:jc w:val="left"/>
        <w:rPr>
          <w:rFonts w:hint="eastAsia"/>
          <w:color w:val="auto"/>
        </w:rPr>
      </w:pPr>
      <w:r>
        <w:rPr>
          <w:rFonts w:hint="eastAsia"/>
          <w:color w:val="auto"/>
        </w:rPr>
        <w:t>美国3月PPI月率(%)</w:t>
      </w:r>
      <w:r>
        <w:rPr>
          <w:rFonts w:hint="eastAsia"/>
          <w:color w:val="auto"/>
        </w:rPr>
        <w:tab/>
      </w:r>
      <w:r>
        <w:rPr>
          <w:rFonts w:hint="eastAsia"/>
          <w:color w:val="auto"/>
        </w:rPr>
        <w:t>0.8</w:t>
      </w:r>
      <w:r>
        <w:rPr>
          <w:rFonts w:hint="eastAsia"/>
          <w:color w:val="auto"/>
        </w:rPr>
        <w:tab/>
      </w:r>
      <w:r>
        <w:rPr>
          <w:rFonts w:hint="eastAsia"/>
          <w:color w:val="auto"/>
        </w:rPr>
        <w:t>1.1</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美国3月核心PPI年率(%)</w:t>
      </w:r>
      <w:r>
        <w:rPr>
          <w:rFonts w:hint="eastAsia"/>
          <w:color w:val="auto"/>
        </w:rPr>
        <w:tab/>
      </w:r>
      <w:r>
        <w:rPr>
          <w:rFonts w:hint="eastAsia"/>
          <w:color w:val="auto"/>
        </w:rPr>
        <w:t>8.4</w:t>
      </w:r>
      <w:r>
        <w:rPr>
          <w:rFonts w:hint="eastAsia"/>
          <w:color w:val="auto"/>
        </w:rPr>
        <w:tab/>
      </w:r>
      <w:r>
        <w:rPr>
          <w:rFonts w:hint="eastAsia"/>
          <w:color w:val="auto"/>
        </w:rPr>
        <w:t>8.4</w:t>
      </w:r>
      <w:r>
        <w:rPr>
          <w:rFonts w:hint="eastAsia"/>
          <w:color w:val="auto"/>
        </w:rPr>
        <w:tab/>
      </w:r>
      <w:r>
        <w:rPr>
          <w:rFonts w:hint="eastAsia"/>
          <w:color w:val="auto"/>
        </w:rPr>
        <w:tab/>
      </w:r>
    </w:p>
    <w:p>
      <w:pPr>
        <w:jc w:val="left"/>
        <w:rPr>
          <w:rFonts w:hint="eastAsia"/>
          <w:color w:val="auto"/>
        </w:rPr>
      </w:pPr>
      <w:r>
        <w:rPr>
          <w:rFonts w:hint="eastAsia"/>
          <w:color w:val="auto"/>
        </w:rPr>
        <w:t>美国3月核心PPI月率(%)</w:t>
      </w:r>
      <w:r>
        <w:rPr>
          <w:rFonts w:hint="eastAsia"/>
          <w:color w:val="auto"/>
        </w:rPr>
        <w:tab/>
      </w:r>
      <w:r>
        <w:rPr>
          <w:rFonts w:hint="eastAsia"/>
          <w:color w:val="auto"/>
        </w:rPr>
        <w:t>0.2</w:t>
      </w:r>
      <w:r>
        <w:rPr>
          <w:rFonts w:hint="eastAsia"/>
          <w:color w:val="auto"/>
        </w:rPr>
        <w:tab/>
      </w:r>
      <w:r>
        <w:rPr>
          <w:rFonts w:hint="eastAsia"/>
          <w:color w:val="auto"/>
        </w:rPr>
        <w:t>0.5</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三大指数开盘涨跌各异，早盘分化，午后强势拉升，截至收盘，沪指涨1.46%，报3213.33点，深成指涨2.05%，报11756.38点，创业板指涨2.5%，报2523.69点。沪深两市合计成交额9164.4亿元；北向资金实际净流买入91.37亿元。。</w:t>
      </w:r>
    </w:p>
    <w:p>
      <w:pPr>
        <w:jc w:val="left"/>
        <w:rPr>
          <w:rFonts w:hint="eastAsia"/>
          <w:color w:val="auto"/>
        </w:rPr>
      </w:pPr>
      <w:r>
        <w:rPr>
          <w:rFonts w:hint="eastAsia"/>
          <w:color w:val="auto"/>
        </w:rPr>
        <w:t xml:space="preserve">  当前，证监会、国资委、全国工商联联合发布关于进一步支持上市公司健康发展的通知，而市场对于降息和降准都有期待，但经济如此，市场心态会依然较谨慎，指数仍在寻底的过程中，今天的行情仍不是转折，内外部的不确定性显著放大了市场运行中的波动性，我们继续表述近期一直的观点--现在就是一个大的的区间反复震荡格局，方向不明确，短线震荡是主体，只宜轻仓短线。</w:t>
      </w:r>
    </w:p>
    <w:p>
      <w:pPr>
        <w:jc w:val="left"/>
        <w:rPr>
          <w:rFonts w:hint="eastAsia"/>
          <w:color w:val="auto"/>
          <w:lang w:eastAsia="zh-CN"/>
        </w:rPr>
      </w:pPr>
    </w:p>
    <w:p>
      <w:pPr>
        <w:jc w:val="left"/>
        <w:rPr>
          <w:rFonts w:hint="eastAsia"/>
          <w:color w:val="auto"/>
          <w:lang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隔夜外围美元收涨于100.32部位；人民币离岸价收升于6.375。欧美股市由升转跌。美联储即将收紧货币政策，拖累成长股走势。NYMEX5月原油上涨6.31美元，结算价报每桶100.60美元。</w:t>
            </w:r>
            <w:r>
              <w:rPr>
                <w:rFonts w:hint="eastAsia"/>
                <w:color w:val="auto"/>
              </w:rPr>
              <w:tab/>
            </w:r>
            <w:r>
              <w:rPr>
                <w:rFonts w:hint="eastAsia"/>
                <w:color w:val="auto"/>
              </w:rPr>
              <w:t>对中国石油需求的担忧缓和，俄罗斯石油和天然气凝析油产量降至2020年低点，OPEC警告称可能出现的俄罗斯供应缺失恐无法弥补。芝加哥(CBOT)大豆收高，分析师称，跟随玉米和小麦期货以及原油期货的升势。CBOT 5月大豆收高15美分，结算价报每蒲式耳16.70-1/4美元，但在周一的交投区间内。CBOT 5月豆粕收高1.80美元，结算价报每短吨460.90美元；5月豆油上扬1.13美分，结算价报每磅75.43美分。美国原油大涨超过6%，豆油是美国生物柴油的主要原料，因此有时会跟随原油价格走势。阿根廷卡车车主继续进行谷物运输罢工，呼吁和政府举行会议。这一抗议在大豆和玉米收割的高峰期举行，阿根廷是全球领先加工大豆出口国，且是第二大玉米出口国。随着通货膨胀的螺旋式上升，要求提高运费的抗议活动于周一开始。对通胀的担忧支撑市场，引导投资者转向大宗商品。美国3月CPI月率上涨1.2%，为16年半以来的最大涨幅，巩固美联储下个月加息50个基点的可能性。欧盟委员会周二公布的数据显示，截至4月10日，欧盟2021/22年度大豆进口量为1,085万吨，低于上一年度同期的1,158万吨。巴西对外贸易秘书处公布的出口数据显示，巴西4月前两周出口大豆318.24万吨，日均出口量为53.04万吨，较上年4月全月日均出口量80.57万吨下降约34.17%。</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框架如前，美豆未脱高位区间波动模式。大连盘被动跟随。9月油粕比在2.74；粕5－9逆差在101点。粕9日内看围绕3900的波动，宜灵活。　　</w:t>
            </w:r>
          </w:p>
          <w:p>
            <w:pPr>
              <w:widowControl/>
              <w:suppressAutoHyphens w:val="0"/>
              <w:jc w:val="left"/>
              <w:rPr>
                <w:rFonts w:hint="eastAsia"/>
                <w:b/>
                <w:color w:val="auto"/>
                <w:lang w:eastAsia="zh-CN"/>
              </w:rPr>
            </w:pPr>
            <w:r>
              <w:rPr>
                <w:rFonts w:hint="eastAsia"/>
                <w:b/>
                <w:color w:val="auto"/>
                <w:lang w:eastAsia="zh-CN"/>
              </w:rPr>
              <w:t>　　</w:t>
            </w:r>
          </w:p>
          <w:p>
            <w:pPr>
              <w:widowControl/>
              <w:suppressAutoHyphens w:val="0"/>
              <w:jc w:val="left"/>
              <w:rPr>
                <w:b/>
                <w:color w:val="auto"/>
                <w:lang w:eastAsia="zh-CN"/>
              </w:rPr>
            </w:pPr>
            <w:r>
              <w:rPr>
                <w:rFonts w:hint="eastAsia"/>
                <w:b/>
                <w:color w:val="auto"/>
                <w:lang w:eastAsia="zh-CN"/>
              </w:rPr>
              <w:t>（</w:t>
            </w:r>
            <w:r>
              <w:rPr>
                <w:rFonts w:hint="eastAsia"/>
                <w:b/>
                <w:color w:val="FF0000"/>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美国3月CPI如预期环比上升1.2%，同比上升8.5%，续刷40年来新高，美联储理事布雷纳德表示，美联储将进行一系列加息以拉低通胀，并最早从6月开始减少其持有的大量债券，外围市场美元指数上涨；大豆、玉米和小麦期货收涨。美股三大指数集体收跌。国际油价收涨。美棉收涨，美国西南棉区西得州近5日内预计无降水，当地旱情持续严峻，加重市场对新年度美棉实际播种面积和产量的担忧。国内主力合约移仓9月，9月最新价格21165元，远月涨幅优于近月，现货价格22732元，纱线价格28705元。受疫情影响，部分地区发运受阻，物流陷入停摆状态，加上棉花价格高企，棉花仓储库出入库等受到制约，纺厂采购基本停滞，仅刚需补库，部分纺厂改纺用棉量少的混纺来降低纯棉纱线的产量。终端需求依然偏弱，订单跟进乏力，织厂接单利润不佳，订单量明显不足，部分织造厂已执行降开机以作调整。综上，内外棉走势劈叉，外强内弱延续；隔夜外棉走强，对郑棉有所提振，但日内不追涨</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操作上，日内灵活，不追涨杀跌；中长线空单续持，可考虑逢高加仓，防守22000元。</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w:t>
            </w:r>
            <w:r>
              <w:rPr>
                <w:rFonts w:hint="eastAsia"/>
                <w:b/>
                <w:color w:val="FF0000"/>
                <w:lang w:val="en-US" w:eastAsia="zh-CN"/>
              </w:rPr>
              <w:t>玲</w:t>
            </w:r>
            <w:r>
              <w:rPr>
                <w:rFonts w:hint="eastAsia"/>
                <w:b/>
                <w:color w:val="FF0000"/>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bookmarkStart w:id="0" w:name="_GoBack"/>
      <w:bookmarkEnd w:id="0"/>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钢材周二价格走升，螺纹2210合约收于5014，热卷2210合约收于5160。现货方面，12日唐山普方坯出厂价报4730（-60），上海地区螺纹钢现货价格(HRB400 20mm)5060元（+10），热卷现货价格(4.75mm)5160元（+60）。</w:t>
            </w:r>
          </w:p>
          <w:p>
            <w:pPr>
              <w:widowControl/>
              <w:suppressAutoHyphens w:val="0"/>
              <w:ind w:firstLine="630" w:firstLineChars="300"/>
              <w:jc w:val="left"/>
              <w:rPr>
                <w:rFonts w:hint="eastAsia"/>
                <w:color w:val="auto"/>
              </w:rPr>
            </w:pPr>
            <w:r>
              <w:rPr>
                <w:rFonts w:hint="eastAsia"/>
                <w:color w:val="auto"/>
              </w:rPr>
              <w:t>财政部副部长许宏才12日在国新办发布会上表示，在今年新增3.65万亿元专项债限额中，用于项目建设的专项债券额度已经全部下达。</w:t>
            </w:r>
          </w:p>
          <w:p>
            <w:pPr>
              <w:widowControl/>
              <w:suppressAutoHyphens w:val="0"/>
              <w:ind w:firstLine="630" w:firstLineChars="300"/>
              <w:jc w:val="left"/>
              <w:rPr>
                <w:rFonts w:hint="eastAsia"/>
                <w:color w:val="auto"/>
              </w:rPr>
            </w:pPr>
            <w:r>
              <w:rPr>
                <w:rFonts w:hint="eastAsia"/>
                <w:color w:val="auto"/>
              </w:rPr>
              <w:t>中国汽车工业协会公布月度数据，数据显示，今年3月，汽车产销数据分别为224.1万辆和223.4万辆，同比下滑9.1%和11.7%；环比增长23.4%和28.4%。1-3月，汽车产销累计648.4万辆和650.9万辆，同比增长2.0%和0.2%。</w:t>
            </w:r>
          </w:p>
          <w:p>
            <w:pPr>
              <w:widowControl/>
              <w:suppressAutoHyphens w:val="0"/>
              <w:ind w:firstLine="630" w:firstLineChars="300"/>
              <w:jc w:val="left"/>
              <w:rPr>
                <w:rFonts w:hint="eastAsia"/>
                <w:color w:val="auto"/>
              </w:rPr>
            </w:pPr>
            <w:r>
              <w:rPr>
                <w:rFonts w:hint="eastAsia"/>
                <w:color w:val="auto"/>
              </w:rPr>
              <w:t>4月以来，已经有14城松绑了购房政策，涉及限购、限贷、限售、公积金贷款、房贷利率等内容。今年来房地产政策松绑力度和范围明显扩大，苏州、南京放松限购或成为热点城市楼市政策风向标，未来市场下行压力较大的二线城市或将效仿进行局部放松，乃至取消“四限”(限购、限贷、限售、限价)。</w:t>
            </w:r>
          </w:p>
          <w:p>
            <w:pPr>
              <w:widowControl/>
              <w:suppressAutoHyphens w:val="0"/>
              <w:ind w:firstLine="630" w:firstLineChars="300"/>
              <w:jc w:val="left"/>
              <w:rPr>
                <w:rFonts w:hint="eastAsia" w:eastAsia="宋体"/>
                <w:color w:val="auto"/>
                <w:lang w:val="en-US" w:eastAsia="zh-CN"/>
              </w:rPr>
            </w:pPr>
            <w:r>
              <w:rPr>
                <w:rFonts w:hint="eastAsia"/>
                <w:color w:val="auto"/>
              </w:rPr>
              <w:t>国家宏观方面，国内3月份社融数据总体超预期，信用端的宽松有所表现，专项债建筑项目额度已全部下达，财政手段同样在发力。下游汽车3月产销数据受到疫情影响均不及往年同期，房地产政策则表现为持续的宽松，4月后继续有取消限购限贷政策出台。整体看钢材处在弱现实强预期的状态中，后续产量方面预计会随着疫情区域解封有所回升，消费的弱势或持续。</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预计钢材价格表现高位宽幅震荡，建议短线操作或观望。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FF0000"/>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cs"/>
                <w:color w:val="auto"/>
              </w:rPr>
              <w:t xml:space="preserve"> </w:t>
            </w:r>
            <w:r>
              <w:rPr>
                <w:color w:val="auto"/>
              </w:rPr>
              <w:t xml:space="preserve"> </w:t>
            </w:r>
            <w:r>
              <w:rPr>
                <w:rFonts w:hint="eastAsia"/>
                <w:color w:val="auto"/>
              </w:rPr>
              <w:t xml:space="preserve">   昨日进口铁矿港口现货全天价格上涨17-44。现青岛港PB粉1010涨38，超特粉745涨44；曹妃甸港PB粉1020跌35，超特粉750涨32；天津港PB粉1020涨25，超特粉747涨17；江内港PB粉1040涨28，超特粉770涨25；鲅鱼圈港PB粉1060涨35；防城港港PB粉1020涨30。</w:t>
            </w:r>
          </w:p>
          <w:p>
            <w:pPr>
              <w:widowControl/>
              <w:suppressAutoHyphens w:val="0"/>
              <w:jc w:val="left"/>
              <w:rPr>
                <w:rFonts w:hint="eastAsia"/>
                <w:color w:val="auto"/>
              </w:rPr>
            </w:pPr>
            <w:r>
              <w:rPr>
                <w:rFonts w:hint="eastAsia"/>
                <w:color w:val="auto"/>
              </w:rPr>
              <w:t xml:space="preserve">     财政部副部长许宏才回应了疫情对专项债券的发行使用会不会产生影响的问题。他表示，财政部会采取各种各样的措施，尽可能减少、减轻疫情影响。今年专项债券发行使用工作起步早、动作快，进度明显快于往年。下一步，财政部将按照国务院常务会议部署，进一步指导地方加快专项债券发行使用工作，支持各地保证财政支出强度，更好发挥专项债券拉动有效投资的积极作用。在专项项目储备方面，据财政部国库司司长王小龙介绍，目前合计两批储备了7.1万个项目。</w:t>
            </w:r>
          </w:p>
          <w:p>
            <w:pPr>
              <w:widowControl/>
              <w:suppressAutoHyphens w:val="0"/>
              <w:jc w:val="left"/>
              <w:rPr>
                <w:rFonts w:hint="eastAsia" w:eastAsia="宋体"/>
                <w:color w:val="auto"/>
                <w:lang w:val="en-US" w:eastAsia="zh-CN"/>
              </w:rPr>
            </w:pPr>
            <w:r>
              <w:rPr>
                <w:rFonts w:hint="eastAsia"/>
                <w:color w:val="auto"/>
              </w:rPr>
              <w:t xml:space="preserve">      铁矿石市场延续高位震荡态势，稳增长预期持续强化支撑远期价格，当前钢厂高炉仍处于复产过程中，华北地区随着疫情缓解钢厂生产有所恢复，铁水产量继续上行，港口库存保持去库状态，铁矿石供需边际改善，但疫情扰动下终端需求持续疲弱和钢铁低利润，使得矿石价格上方有一定承压，整体表现为高位震荡</w:t>
            </w:r>
            <w:r>
              <w:rPr>
                <w:rFonts w:hint="eastAsia"/>
                <w:color w:val="auto"/>
                <w:lang w:eastAsia="zh-CN"/>
              </w:rPr>
              <w:t>。</w:t>
            </w:r>
          </w:p>
          <w:p>
            <w:pPr>
              <w:widowControl/>
              <w:suppressAutoHyphens w:val="0"/>
              <w:jc w:val="left"/>
              <w:rPr>
                <w:rFonts w:hint="eastAsia" w:eastAsia="宋体"/>
                <w:color w:val="auto"/>
                <w:lang w:val="en-US" w:eastAsia="zh-CN"/>
              </w:rPr>
            </w:pP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FF0000"/>
                <w:lang w:eastAsia="zh-CN"/>
              </w:rPr>
            </w:pPr>
            <w:r>
              <w:rPr>
                <w:rFonts w:hint="eastAsia"/>
                <w:b/>
                <w:color w:val="FF0000"/>
                <w:lang w:eastAsia="zh-CN"/>
              </w:rPr>
              <w:t>建议短线或波段交易。</w:t>
            </w:r>
          </w:p>
          <w:p>
            <w:pPr>
              <w:rPr>
                <w:rFonts w:hint="eastAsia"/>
                <w:b/>
                <w:color w:val="auto"/>
                <w:lang w:eastAsia="zh-CN"/>
              </w:rPr>
            </w:pPr>
          </w:p>
          <w:p>
            <w:pPr>
              <w:rPr>
                <w:rFonts w:hint="eastAsia"/>
                <w:b/>
                <w:color w:val="auto"/>
                <w:lang w:eastAsia="zh-CN"/>
              </w:rPr>
            </w:pPr>
            <w:r>
              <w:rPr>
                <w:rFonts w:hint="eastAsia"/>
                <w:b/>
                <w:color w:val="auto"/>
                <w:lang w:eastAsia="zh-CN"/>
              </w:rPr>
              <w:t>(杨俊林)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现货市场，双焦价格稳中向好。山西介休1.3硫主焦2600元/吨，蒙5金泉提货价2950元/吨，澳煤到岸价418美元/吨（+8）；吕梁准一出厂价3550元/吨，唐山二级焦到厂价3650元/吨，青岛港准一焦平仓价3800元/吨。</w:t>
            </w:r>
          </w:p>
          <w:p>
            <w:pPr>
              <w:widowControl/>
              <w:suppressAutoHyphens w:val="0"/>
              <w:ind w:firstLine="630" w:firstLineChars="300"/>
              <w:jc w:val="left"/>
              <w:rPr>
                <w:rFonts w:hint="eastAsia"/>
                <w:color w:val="auto"/>
              </w:rPr>
            </w:pPr>
            <w:r>
              <w:rPr>
                <w:rFonts w:hint="eastAsia"/>
                <w:color w:val="auto"/>
              </w:rPr>
              <w:t>交通运输部发布关于进一步统筹做好公路交通疫情防控和保通保畅工作的通知。严禁在普通公路同一区段同一方向设置2个（含）以上防疫检查点；严禁在高速公路主线和服务区设置防疫检查点；严禁擅自阻断或关闭高速公路、普通公路；严禁防控措施简单化、“一刀切”。</w:t>
            </w:r>
          </w:p>
          <w:p>
            <w:pPr>
              <w:widowControl/>
              <w:suppressAutoHyphens w:val="0"/>
              <w:ind w:firstLine="630" w:firstLineChars="300"/>
              <w:jc w:val="left"/>
              <w:rPr>
                <w:rFonts w:hint="eastAsia" w:eastAsia="宋体"/>
                <w:color w:val="auto"/>
                <w:lang w:val="en-US" w:eastAsia="zh-CN"/>
              </w:rPr>
            </w:pPr>
            <w:r>
              <w:rPr>
                <w:rFonts w:hint="eastAsia"/>
                <w:color w:val="auto"/>
              </w:rPr>
              <w:t>整体来说，受疫情、物流受阻等的影响，焦钢企业原料紧张、开工下滑，短期双焦需求下滑，盘面平水现货后仍有压力；不过近期政策加大对物流通畅工作的支持，补库需求预期好转，叠加终端需求预期向好，低位支撑转强。短期呈现现货需求下滑、物流预期向好的双向影响，盘面高位震荡走势</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暂时观望。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FF0000"/>
                <w:lang w:eastAsia="zh-CN"/>
              </w:rPr>
              <w:t>李岩）</w:t>
            </w:r>
          </w:p>
        </w:tc>
      </w:tr>
      <w:tr>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偏弱运行，沪铝主力月2205合约收至21070元/吨，跌260元，跌幅1.22%。现货方面，12日长江现货成交价格20830-20870元/吨，跌380元，贴水60-贴水20；广东南储报20840-20900元/吨，跌410元；华通报20880-20920元/吨，跌380元。现货市场回暖，持货商转挺价上调出货，接货商积极入市询价，按需采购备货，交投氛围好转。</w:t>
            </w:r>
          </w:p>
          <w:p>
            <w:pPr>
              <w:widowControl/>
              <w:suppressAutoHyphens w:val="0"/>
              <w:ind w:firstLine="630" w:firstLineChars="300"/>
              <w:jc w:val="left"/>
              <w:rPr>
                <w:rFonts w:hint="eastAsia"/>
                <w:color w:val="auto"/>
                <w:lang w:val="en-US" w:eastAsia="zh-CN"/>
              </w:rPr>
            </w:pPr>
            <w:r>
              <w:rPr>
                <w:rFonts w:hint="eastAsia"/>
                <w:color w:val="auto"/>
                <w:lang w:val="en-US" w:eastAsia="zh-CN"/>
              </w:rPr>
              <w:t>LME公布数据显示，11日伦铝库存水平609,850吨，降至逾十六年新低位。12日，伦铝库存近期首次增加925吨到610775吨，新加坡贡献唯一增量3725吨。但仍旧被巴生仓库的降幅抵消大半，巴生仓库减少2650吨，其他鹿特丹、巴尔的摩、汉堡出现小幅减少。</w:t>
            </w:r>
          </w:p>
          <w:p>
            <w:pPr>
              <w:widowControl/>
              <w:suppressAutoHyphens w:val="0"/>
              <w:ind w:firstLine="630" w:firstLineChars="300"/>
              <w:jc w:val="left"/>
              <w:rPr>
                <w:color w:val="auto"/>
              </w:rPr>
            </w:pPr>
            <w:r>
              <w:rPr>
                <w:rFonts w:hint="eastAsia"/>
                <w:color w:val="auto"/>
                <w:lang w:val="en-US" w:eastAsia="zh-CN"/>
              </w:rPr>
              <w:t>当前西方国家继续对俄罗斯实施新的制裁，俄铝向外出口受阻，欧洲天然气价格出现回落，海外供应忧虑降温。国内云南、广西等地电解铝复产及新增产能投产提速，产量有望赶超去年同期。下游受疫情影响加工企业开工持续走弱，需求复苏受阻。短期需求疲软铝价上涨乏力，加上美联储鹰派言论致有色整体承压，美元持续走强，而国内疫情依旧严峻，运输限制有所缓解但还未恢复正常，国内铝供需错配状态持续，铝价承压运行为主，持续关注疫情对产业链的影响。</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操作上观望或短线交易。</w:t>
            </w:r>
          </w:p>
          <w:p>
            <w:pPr>
              <w:rPr>
                <w:rFonts w:hint="eastAsia"/>
                <w:b/>
                <w:color w:val="auto"/>
                <w:lang w:eastAsia="zh-CN"/>
              </w:rPr>
            </w:pPr>
          </w:p>
          <w:p>
            <w:pPr>
              <w:rPr>
                <w:b/>
                <w:color w:val="auto"/>
                <w:lang w:eastAsia="zh-CN"/>
              </w:rPr>
            </w:pPr>
            <w:r>
              <w:rPr>
                <w:rFonts w:hint="eastAsia"/>
                <w:b/>
                <w:color w:val="auto"/>
                <w:lang w:eastAsia="zh-CN"/>
              </w:rPr>
              <w:t>（有</w:t>
            </w:r>
            <w:r>
              <w:rPr>
                <w:rFonts w:hint="eastAsia"/>
                <w:b/>
                <w:color w:val="FF0000"/>
                <w:lang w:eastAsia="zh-CN"/>
              </w:rPr>
              <w:t>色组</w:t>
            </w:r>
            <w:r>
              <w:rPr>
                <w:rFonts w:hint="eastAsia"/>
                <w:b/>
                <w:color w:val="auto"/>
                <w:lang w:eastAsia="zh-CN"/>
              </w:rPr>
              <w:t>）</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美国3月CPI同比涨幅继续超预期，通胀形势保持高涨局面，市场预期美联储5月加息50个基点且可能会有缩表操作，对全球主要金融市场带来潜在的风险，同时不利于全球经济的扩张。与此同时，俄乌谈判形势遭遇波折，全球经济和贸易形势不容乐观，不利于天胶的宏观需求。昨日受到海外主要大宗工业品的上涨的带动，国内工业品期货板块明显上涨，不过RU再度走弱，RU与整体工业品之间的“跷跷板”关系再度显现，而RU被空头配置的可能性增加，不利于胶价表现。行业方面，昨日泰国原料价格以回落为主，泰国东北部有开始试割，越南也迎来开割，国内云南4月中旬有望全面开割，昨日云南胶水收购价在11.6-12.1。本期青岛地区天胶库存环比小幅增长，国内总体库存水平依旧偏高，国内现货市场主流价格跟随期货盘面持稳为主，局部地区交投运输仍有所受限，下游采买谨慎，维持刚需为主，昨日上海20年SCRWF主流价格在12800—12850元/吨；上海地区SVR3L参考价格在12850—12900元/吨；云南市场国产10#胶参考价格12000—12200元/吨。</w:t>
            </w:r>
          </w:p>
          <w:p>
            <w:pPr>
              <w:widowControl/>
              <w:suppressAutoHyphens w:val="0"/>
              <w:ind w:firstLine="630" w:firstLineChars="300"/>
              <w:jc w:val="left"/>
              <w:rPr>
                <w:rFonts w:hint="eastAsia" w:eastAsia="宋体"/>
                <w:color w:val="auto"/>
                <w:lang w:eastAsia="zh-CN"/>
              </w:rPr>
            </w:pPr>
            <w:r>
              <w:rPr>
                <w:rFonts w:hint="eastAsia"/>
                <w:color w:val="auto"/>
              </w:rPr>
              <w:t>技术面：昨日RU2209窄幅震荡，多空日内博弈激烈，13600附近的压力明显，盘中多头对向上拓展反弹空间缺乏信心，导致胶价阶段性仍保持偏弱局面，下方支撑保持在13300-13400。</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操作建议：短期继续关注多空博弈方向，中线投资者考虑逢跌至低价左侧少量布局多单。</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FF0000"/>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4月12日，欧佩克月报显示，欧佩克3月原油产出增加5.7万桶/日至2856万桶/日；二手资料显示，沙特3月原油产量增加5.4万桶/日，至1026.2万桶/日；阿联酋3月原油产量增加2.3万桶/日，至298.3万桶/日。美国能源政策辩论：共和党表示拜登政策使生产商不愿投资更多资金，而民主党人则表示该行业有责任将利润分配给更多的产出而不是股东回报。拜登签署暂停与俄罗斯正常贸易地位的法案，提高了从俄罗斯进口金属的关税，立法允许美国在2024年之前征收更高的关税。美国银行：维持2022-2023年布伦特原油平均价格102美元/桶的预测，将布伦特原油夏季峰值价格降至120美元/桶。欧美市场，汽油裂解依然坚挺，柴油和航煤裂解回落，但仍处于同期高位，新加坡市场，汽油、柴油、航煤裂解依然保持强势，在历史高位徘徊，中国市场受疫情的影响，成品油裂解涨幅低于国外市场。根据俄罗斯能源部旗下CDU-TEK的数据，从4月1日到6日，俄罗斯平均原油日产量为143.6万吨，相当于每天约1052万桶，比3月日均1110万桶的水平减少4.5%。公布的EIA报告显示，美国国内原油产量增加10万桶至1180万桶/日。除却战略储备的商业原油库存增加242.1万桶至4.124亿桶，增加0.6%。有外媒称，美国众议院能源调查委员会对埃克森美孚、英国石油、雪佛龙、壳牌美国分公司等6家公司的首席执行官进行质询，质询时间长达6小时。3月份中国独立炼油厂的进口从2月份的四个月低点回升6.7%至1405.5万吨。</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OPEC表示一旦俄罗斯出口量出现明显损失，任何国家和机构都难以弥补缺口，叠加俄乌冲突仍在继续，国际油价强劲反弹。NYMEX原油期货05合约100.60涨6.31美元/桶或6.69%；ICE布油期货06合约104.64涨6.16美元/桶或6.26%。</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操作思路以震荡偏空为主，关注布伦特原油震荡区间95-105美元/桶，注意止盈止损。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w:t>
            </w:r>
            <w:r>
              <w:rPr>
                <w:rFonts w:hint="eastAsia"/>
                <w:b/>
                <w:color w:val="FF0000"/>
                <w:lang w:val="en-US" w:eastAsia="zh-CN"/>
              </w:rPr>
              <w:t>世俊</w:t>
            </w:r>
            <w:r>
              <w:rPr>
                <w:rFonts w:hint="eastAsia"/>
                <w:b/>
                <w:color w:val="FF0000"/>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9656767"/>
    <w:rsid w:val="099174FC"/>
    <w:rsid w:val="0C12090D"/>
    <w:rsid w:val="14E22F0B"/>
    <w:rsid w:val="16714D70"/>
    <w:rsid w:val="18B11A3E"/>
    <w:rsid w:val="18B21305"/>
    <w:rsid w:val="195C02AF"/>
    <w:rsid w:val="1A8E2066"/>
    <w:rsid w:val="1C955016"/>
    <w:rsid w:val="1CAE3AF0"/>
    <w:rsid w:val="1F7E29BD"/>
    <w:rsid w:val="20970D76"/>
    <w:rsid w:val="227F224C"/>
    <w:rsid w:val="23F270CF"/>
    <w:rsid w:val="2A7A4984"/>
    <w:rsid w:val="2D8D3BC9"/>
    <w:rsid w:val="321D62B5"/>
    <w:rsid w:val="353D5E3C"/>
    <w:rsid w:val="384D33C8"/>
    <w:rsid w:val="406C6812"/>
    <w:rsid w:val="430419B8"/>
    <w:rsid w:val="4A29450B"/>
    <w:rsid w:val="4B25247A"/>
    <w:rsid w:val="4D9E7DC0"/>
    <w:rsid w:val="4FCE0CA2"/>
    <w:rsid w:val="5132643B"/>
    <w:rsid w:val="578723B2"/>
    <w:rsid w:val="5B922A05"/>
    <w:rsid w:val="66714647"/>
    <w:rsid w:val="66CC74E1"/>
    <w:rsid w:val="73C8743F"/>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3</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2022-04-13T00:46:33Z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