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4月12</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jc w:val="left"/>
        <w:rPr>
          <w:color w:val="auto"/>
        </w:rPr>
      </w:pPr>
    </w:p>
    <w:p>
      <w:pPr>
        <w:jc w:val="left"/>
        <w:rPr>
          <w:rFonts w:hint="eastAsia"/>
          <w:color w:val="auto"/>
        </w:rPr>
      </w:pPr>
      <w:r>
        <w:rPr>
          <w:rFonts w:hint="eastAsia"/>
          <w:color w:val="auto"/>
          <w:lang w:val="en-US" w:eastAsia="zh-CN"/>
        </w:rPr>
        <w:t xml:space="preserve"> </w:t>
      </w:r>
      <w:r>
        <w:rPr>
          <w:rFonts w:hint="eastAsia"/>
          <w:color w:val="auto"/>
        </w:rPr>
        <w:t>【国际宏观基本面信息】</w:t>
      </w:r>
    </w:p>
    <w:p>
      <w:pPr>
        <w:jc w:val="left"/>
        <w:rPr>
          <w:rFonts w:hint="eastAsia"/>
          <w:color w:val="auto"/>
        </w:rPr>
      </w:pPr>
      <w:r>
        <w:rPr>
          <w:rFonts w:hint="eastAsia"/>
          <w:color w:val="auto"/>
        </w:rPr>
        <w:t>1 美联储理事沃勒表示，美联储正在尽其所能地避免加息带来的“附带损害”。加息是一种可能对经济造成“打击”的“蛮力工具”。美联储正试图让影响不要这么大，但也指出他们无法调整政策。</w:t>
      </w:r>
    </w:p>
    <w:p>
      <w:pPr>
        <w:jc w:val="left"/>
        <w:rPr>
          <w:rFonts w:hint="eastAsia"/>
          <w:color w:val="auto"/>
        </w:rPr>
      </w:pPr>
      <w:r>
        <w:rPr>
          <w:rFonts w:hint="eastAsia"/>
          <w:color w:val="auto"/>
        </w:rPr>
        <w:t>芝加哥联储主席埃文斯：美国物价不会永远上涨，但高通胀问题将持续存在。</w:t>
      </w:r>
    </w:p>
    <w:p>
      <w:pPr>
        <w:jc w:val="left"/>
        <w:rPr>
          <w:rFonts w:hint="eastAsia"/>
          <w:color w:val="auto"/>
        </w:rPr>
      </w:pPr>
      <w:r>
        <w:rPr>
          <w:rFonts w:hint="eastAsia"/>
          <w:color w:val="auto"/>
        </w:rPr>
        <w:t>2 OPEC：市场目前受到政治因素，而非供需的影响，OPEC几乎没有什么可以做的。</w:t>
      </w:r>
    </w:p>
    <w:p>
      <w:pPr>
        <w:jc w:val="left"/>
        <w:rPr>
          <w:rFonts w:hint="eastAsia"/>
          <w:color w:val="auto"/>
        </w:rPr>
      </w:pPr>
      <w:r>
        <w:rPr>
          <w:rFonts w:hint="eastAsia"/>
          <w:color w:val="auto"/>
        </w:rPr>
        <w:t>3 联合国粮农组织报告显示，俄乌冲突发生以来，国际主粮和植物油市场受到严重冲击，导致3月份世界粮食商品价格大幅跃升至历史最高水平</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央行公布2022年3月及一季度金融统计数据及社会融资规模增量统计数据报告，具体来看：中国3月社会融资规模增量4.65万亿元，前值1.19万亿元人民币，比上年同期多1.28万亿元。中国3月新增人民币贷款3.13万亿元，前值1.23万亿万亿元人民币，同比多增3951亿元。中国3月M2货币供应同比增长9.7%，前值9.2%；M1同比增长4.7%，前值4.7%。</w:t>
      </w:r>
    </w:p>
    <w:p>
      <w:pPr>
        <w:jc w:val="left"/>
        <w:rPr>
          <w:rFonts w:hint="eastAsia"/>
          <w:color w:val="auto"/>
        </w:rPr>
      </w:pPr>
      <w:r>
        <w:rPr>
          <w:rFonts w:hint="eastAsia"/>
          <w:color w:val="auto"/>
        </w:rPr>
        <w:t>2  国家统计局发布数据显示，3月份，中国居民消费价格（CPI）同比上涨1.5%，前值0.9%，涨幅比上月扩大0.6个百分点；CPI环比由上月上涨0.6%转为持平。工业生产者出厂价格（PPI）同比上升8.3%，前值8.8%，同比涨幅继续回落；环比上涨1.1%，涨幅比上月扩大0.6个百分点。</w:t>
      </w:r>
    </w:p>
    <w:p>
      <w:pPr>
        <w:jc w:val="left"/>
        <w:rPr>
          <w:rFonts w:hint="eastAsia"/>
          <w:color w:val="auto"/>
        </w:rPr>
      </w:pPr>
      <w:r>
        <w:rPr>
          <w:rFonts w:hint="eastAsia"/>
          <w:color w:val="auto"/>
        </w:rPr>
        <w:t>3  李克强指出，要增强紧迫感，抓紧落实中央经济工作会议精神和政府工作报告举措，退税减税降费、金融支持实体经济、专项债发行使用、重点项目开工建设、支持企业稳岗等政策的实施，都要靠前安排和加快节奏</w:t>
      </w:r>
    </w:p>
    <w:p>
      <w:pPr>
        <w:jc w:val="left"/>
        <w:rPr>
          <w:rFonts w:hint="eastAsia"/>
          <w:color w:val="auto"/>
        </w:rPr>
      </w:pPr>
      <w:r>
        <w:rPr>
          <w:rFonts w:hint="eastAsia"/>
          <w:color w:val="auto"/>
        </w:rPr>
        <w:t>4  证监会、国资委、全国工商联发布关于进一步支持上市公司健康发展的通知</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17:00</w:t>
      </w:r>
      <w:r>
        <w:rPr>
          <w:rFonts w:hint="eastAsia"/>
          <w:color w:val="auto"/>
        </w:rPr>
        <w:tab/>
      </w:r>
      <w:r>
        <w:rPr>
          <w:rFonts w:hint="eastAsia"/>
          <w:color w:val="auto"/>
        </w:rPr>
        <w:t>欧元区4月ZEW经济景气指数</w:t>
      </w:r>
      <w:r>
        <w:rPr>
          <w:rFonts w:hint="eastAsia"/>
          <w:color w:val="auto"/>
        </w:rPr>
        <w:tab/>
      </w:r>
      <w:r>
        <w:rPr>
          <w:rFonts w:hint="eastAsia"/>
          <w:color w:val="auto"/>
        </w:rPr>
        <w:t>-38.7</w:t>
      </w:r>
      <w:r>
        <w:rPr>
          <w:rFonts w:hint="eastAsia"/>
          <w:color w:val="auto"/>
        </w:rPr>
        <w:tab/>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欧元区4月ZEW经济现况指数</w:t>
      </w:r>
      <w:r>
        <w:rPr>
          <w:rFonts w:hint="eastAsia"/>
          <w:color w:val="auto"/>
        </w:rPr>
        <w:tab/>
      </w:r>
      <w:r>
        <w:rPr>
          <w:rFonts w:hint="eastAsia"/>
          <w:color w:val="auto"/>
        </w:rPr>
        <w:t>-21.9</w:t>
      </w:r>
    </w:p>
    <w:p>
      <w:pPr>
        <w:jc w:val="left"/>
        <w:rPr>
          <w:rFonts w:hint="eastAsia"/>
          <w:color w:val="auto"/>
        </w:rPr>
      </w:pPr>
      <w:r>
        <w:rPr>
          <w:rFonts w:hint="eastAsia"/>
          <w:color w:val="auto"/>
        </w:rPr>
        <w:t>20:30</w:t>
      </w:r>
      <w:r>
        <w:rPr>
          <w:rFonts w:hint="eastAsia"/>
          <w:color w:val="auto"/>
        </w:rPr>
        <w:tab/>
      </w:r>
      <w:r>
        <w:rPr>
          <w:rFonts w:hint="eastAsia"/>
          <w:color w:val="auto"/>
        </w:rPr>
        <w:t>美国3月CPI年率未季调(%)</w:t>
      </w:r>
      <w:r>
        <w:rPr>
          <w:rFonts w:hint="eastAsia"/>
          <w:color w:val="auto"/>
        </w:rPr>
        <w:tab/>
      </w:r>
      <w:r>
        <w:rPr>
          <w:rFonts w:hint="eastAsia"/>
          <w:color w:val="auto"/>
        </w:rPr>
        <w:t>7.9</w:t>
      </w:r>
      <w:r>
        <w:rPr>
          <w:rFonts w:hint="eastAsia"/>
          <w:color w:val="auto"/>
        </w:rPr>
        <w:tab/>
      </w:r>
      <w:r>
        <w:rPr>
          <w:rFonts w:hint="eastAsia"/>
          <w:color w:val="auto"/>
        </w:rPr>
        <w:t>8.5</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美国3月未季调CPI指数</w:t>
      </w:r>
      <w:r>
        <w:rPr>
          <w:rFonts w:hint="eastAsia"/>
          <w:color w:val="auto"/>
        </w:rPr>
        <w:tab/>
      </w:r>
      <w:r>
        <w:rPr>
          <w:rFonts w:hint="eastAsia"/>
          <w:color w:val="auto"/>
        </w:rPr>
        <w:t>283.72</w:t>
      </w:r>
      <w:r>
        <w:rPr>
          <w:rFonts w:hint="eastAsia"/>
          <w:color w:val="auto"/>
        </w:rPr>
        <w:tab/>
      </w:r>
      <w:r>
        <w:rPr>
          <w:rFonts w:hint="eastAsia"/>
          <w:color w:val="auto"/>
        </w:rPr>
        <w:t>287.57</w:t>
      </w:r>
      <w:r>
        <w:rPr>
          <w:rFonts w:hint="eastAsia"/>
          <w:color w:val="auto"/>
        </w:rPr>
        <w:tab/>
      </w:r>
      <w:r>
        <w:rPr>
          <w:rFonts w:hint="eastAsia"/>
          <w:color w:val="auto"/>
        </w:rPr>
        <w:tab/>
      </w:r>
      <w:r>
        <w:rPr>
          <w:rFonts w:hint="eastAsia"/>
          <w:color w:val="auto"/>
        </w:rPr>
        <w:tab/>
      </w:r>
    </w:p>
    <w:p>
      <w:pPr>
        <w:jc w:val="left"/>
        <w:rPr>
          <w:rFonts w:hint="eastAsia"/>
          <w:color w:val="auto"/>
        </w:rPr>
      </w:pPr>
      <w:r>
        <w:rPr>
          <w:rFonts w:hint="eastAsia"/>
          <w:color w:val="auto"/>
        </w:rPr>
        <w:t>美国3月核心CPI年率未季调(%)</w:t>
      </w:r>
      <w:r>
        <w:rPr>
          <w:rFonts w:hint="eastAsia"/>
          <w:color w:val="auto"/>
        </w:rPr>
        <w:tab/>
      </w:r>
      <w:r>
        <w:rPr>
          <w:rFonts w:hint="eastAsia"/>
          <w:color w:val="auto"/>
        </w:rPr>
        <w:t>6.4</w:t>
      </w:r>
      <w:r>
        <w:rPr>
          <w:rFonts w:hint="eastAsia"/>
          <w:color w:val="auto"/>
        </w:rPr>
        <w:tab/>
      </w:r>
      <w:r>
        <w:rPr>
          <w:rFonts w:hint="eastAsia"/>
          <w:color w:val="auto"/>
        </w:rPr>
        <w:t>6.6</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11日沪指收报3167.13点，跌2.61%，成交额4351亿元。深成指收报11520.21点，跌3.67%，成交额5286亿元。创业板指收报2462.04点，跌4.20%，成交额1727亿元。</w:t>
      </w:r>
    </w:p>
    <w:p>
      <w:pPr>
        <w:jc w:val="left"/>
        <w:rPr>
          <w:rFonts w:hint="eastAsia"/>
          <w:color w:val="auto"/>
          <w:lang w:eastAsia="zh-CN"/>
        </w:rPr>
      </w:pPr>
      <w:r>
        <w:rPr>
          <w:rFonts w:hint="eastAsia"/>
          <w:color w:val="auto"/>
        </w:rPr>
        <w:t xml:space="preserve">  从表象数据上，社融等表现强劲，反映出宏观政策加大经济稳增长、稳定信用扩张的靠前发力，但实质上从信用扩张的结构看，实体企业、居民的投资、消费等需求不足的问题依然存在，说明稳增长政策适时加力仍有必要，当前经济依然危机重重，倒逼政策扶持。而疫情防疫策略对经济的消极影响还将不断扩大，市场心态较谨慎，指数仍在寻底的过程中，内外部的不确定性显著放大了市场运行中的波动性，这种状态使我们继续表述近期一直的观点--现在就是一个大的的区间反复震荡格局，方向不明确，短线震荡是主体，做好资金控制，不宜赌方向</w:t>
      </w:r>
      <w:r>
        <w:rPr>
          <w:rFonts w:hint="eastAsia"/>
          <w:color w:val="auto"/>
          <w:lang w:eastAsia="zh-CN"/>
        </w:rPr>
        <w:t>。</w:t>
      </w:r>
    </w:p>
    <w:p>
      <w:pPr>
        <w:jc w:val="left"/>
        <w:rPr>
          <w:rFonts w:hint="eastAsia"/>
          <w:color w:val="auto"/>
          <w:lang w:eastAsia="zh-CN"/>
        </w:rPr>
      </w:pPr>
    </w:p>
    <w:p>
      <w:pPr>
        <w:jc w:val="left"/>
        <w:rPr>
          <w:rFonts w:hint="eastAsia"/>
          <w:color w:val="auto"/>
          <w:lang w:eastAsia="zh-CN"/>
        </w:rPr>
      </w:pPr>
    </w:p>
    <w:p>
      <w:pPr>
        <w:jc w:val="left"/>
        <w:rPr>
          <w:rFonts w:hint="eastAsia"/>
          <w:color w:val="auto"/>
          <w:lang w:eastAsia="zh-CN"/>
        </w:rPr>
      </w:pPr>
    </w:p>
    <w:p>
      <w:pPr>
        <w:jc w:val="left"/>
        <w:rPr>
          <w:rFonts w:hint="eastAsia"/>
          <w:color w:val="auto"/>
          <w:lang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jc w:val="center"/>
        <w:rPr>
          <w:rFonts w:ascii="黑体" w:eastAsia="黑体" w:cs="宋体"/>
          <w:color w:val="auto"/>
          <w:szCs w:val="21"/>
        </w:rPr>
      </w:pPr>
    </w:p>
    <w:p>
      <w:pPr>
        <w:jc w:val="center"/>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隔夜外围美元收涨于99.98部位；人民币离岸价收贬于6.385。欧美股市收低。市场预期美联储会采取更加激进的货币收缩政策，美公债收益率急升。NYMEX5月原油下跌3.97美元，结算价报每桶94.29美元。因人们担忧中国需求下滑，同时国际能源署国家计划释放创纪录数量的战略油储。芝加哥(CBOT)大豆收跌，市场担忧中国需求。鉴于豆油为生物柴油的原料之一，原油价格下跌亦构成压力。CBOT 5月大豆收跌33-3/4美分，结算价报每蒲式耳16.55-1/4美元。5月豆粕收跌9.10美元，结算价报每短吨459.10美元。5月豆油下跌0.82美分，结算价报每磅74.30美分。美国农业部公布的周度出口检验报告显示，截至2022年4月7日当周，美国大豆出口检验量为766,232吨，符合50-90万吨的市场预估区间。阿根廷卡车司机开始无限期罢工，要求提高谷物和牲畜的运输费用，这可能在收割的关键时期影响谷物出口。</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框架如前，美豆区间内回撤。大连盘跟随。9月油粕比在2.71；粕5－9逆差在102点。粕9日内看围绕3850的波动，宜灵活。　　</w:t>
            </w:r>
          </w:p>
          <w:p>
            <w:pPr>
              <w:widowControl/>
              <w:suppressAutoHyphens w:val="0"/>
              <w:jc w:val="left"/>
              <w:rPr>
                <w:rFonts w:hint="eastAsia"/>
                <w:b/>
                <w:color w:val="auto"/>
                <w:lang w:eastAsia="zh-CN"/>
              </w:rPr>
            </w:pPr>
            <w:r>
              <w:rPr>
                <w:rFonts w:hint="eastAsia"/>
                <w:b/>
                <w:color w:val="auto"/>
                <w:lang w:eastAsia="zh-CN"/>
              </w:rPr>
              <w:t>　　</w:t>
            </w:r>
          </w:p>
          <w:p>
            <w:pPr>
              <w:widowControl/>
              <w:suppressAutoHyphens w:val="0"/>
              <w:jc w:val="left"/>
              <w:rPr>
                <w:b/>
                <w:color w:val="auto"/>
                <w:lang w:eastAsia="zh-CN"/>
              </w:rPr>
            </w:pPr>
            <w:r>
              <w:rPr>
                <w:rFonts w:hint="eastAsia"/>
                <w:b/>
                <w:color w:val="auto"/>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最新公布的基金持仓报告，基金净多头寸较前期有所增加，美棉上涨，7月合约价格133美分，得州天气干旱，沙尘。郑棉继续横盘，5月合约价格在21595元。目前美国EMOT M到港价148.35分/磅，印度S-6 1-1/8到港价159美分/磅，巴西M到港价150.6美分/磅，外棉到港价较上一交易日涨跌互现。4月11日，棉花现货指数CCI3128B报价至22738元/吨（-13）；期现价差-1183（05合约收盘价-现货价），涤纶短纤报价7720元/吨(-30)，黏胶短纤报价14100元/吨（+0）；CY Index C32S报价28755元/吨（-50），FCY Index C32S(进口棉纱价格指数)报价31695元/吨（-15）。综上，内外棉走势劈叉；国内疫情下，需求抑制加剧。</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操作上，郑棉震荡偏弱对待，中长线空单续持。</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钢材周一价格震荡回落，螺纹2210合约收于4937，热卷2210合约收于5096。现货方面，11日唐山普方坯出厂价报4790（-40），上海地区螺纹钢现货价格(HRB400 20mm)5050元（-40），热卷现货价格(4.75mm)5100元（-80）。</w:t>
            </w:r>
          </w:p>
          <w:p>
            <w:pPr>
              <w:widowControl/>
              <w:suppressAutoHyphens w:val="0"/>
              <w:ind w:firstLine="630" w:firstLineChars="300"/>
              <w:jc w:val="left"/>
              <w:rPr>
                <w:rFonts w:hint="eastAsia"/>
                <w:color w:val="auto"/>
              </w:rPr>
            </w:pPr>
            <w:r>
              <w:rPr>
                <w:rFonts w:hint="eastAsia"/>
                <w:color w:val="auto"/>
              </w:rPr>
              <w:t>中共中央政治局常委、国务院总理李克强在江西主持召开经济形势部分地方政府主要负责人座谈会。李克强指出，退税减税降费、金融支持实体经济、专项债发行使用、重点项目开工建设、支持企业稳岗等政策的实施，都要靠前安排和加快节奏，上半年要大头落地，形成更多实物工作量。保障电力煤炭等能源稳定供应，加快释放国内先进煤炭产能。确保交通骨干网络、港口等有序运行，畅通国际国内物流，维护产业链供应链稳定。</w:t>
            </w:r>
          </w:p>
          <w:p>
            <w:pPr>
              <w:widowControl/>
              <w:suppressAutoHyphens w:val="0"/>
              <w:ind w:firstLine="630" w:firstLineChars="300"/>
              <w:jc w:val="left"/>
              <w:rPr>
                <w:rFonts w:hint="eastAsia"/>
                <w:color w:val="auto"/>
              </w:rPr>
            </w:pPr>
            <w:r>
              <w:rPr>
                <w:rFonts w:hint="eastAsia"/>
                <w:color w:val="auto"/>
              </w:rPr>
              <w:t>中国3月份社会融资规模增量46500亿元，预期37000亿元，2月为11900亿元；中国3月份货币供应M2同比增长9.7%，预期9.4%，2月为9.2%；中国3月份新增人民币贷款31300亿元，预期28000亿元，2月为12300亿元。</w:t>
            </w:r>
          </w:p>
          <w:p>
            <w:pPr>
              <w:widowControl/>
              <w:suppressAutoHyphens w:val="0"/>
              <w:ind w:firstLine="630" w:firstLineChars="300"/>
              <w:jc w:val="left"/>
              <w:rPr>
                <w:rFonts w:hint="eastAsia"/>
                <w:color w:val="auto"/>
              </w:rPr>
            </w:pPr>
            <w:r>
              <w:rPr>
                <w:rFonts w:hint="eastAsia"/>
                <w:color w:val="auto"/>
              </w:rPr>
              <w:t>中国3月CPI同比上涨1.5%，预期1.3%；前值0.9%。中国3月PPI同比上涨8.3%，预期上涨8.1%，前值上涨8.8%。</w:t>
            </w:r>
          </w:p>
          <w:p>
            <w:pPr>
              <w:widowControl/>
              <w:suppressAutoHyphens w:val="0"/>
              <w:ind w:firstLine="630" w:firstLineChars="300"/>
              <w:jc w:val="left"/>
              <w:rPr>
                <w:rFonts w:hint="eastAsia" w:eastAsia="宋体"/>
                <w:color w:val="auto"/>
                <w:lang w:val="en-US" w:eastAsia="zh-CN"/>
              </w:rPr>
            </w:pPr>
            <w:r>
              <w:rPr>
                <w:rFonts w:hint="eastAsia"/>
                <w:color w:val="auto"/>
              </w:rPr>
              <w:t>国家宏观方面，国内3月份社融数据总体超预期，信用端的宽松有所表现。李克强在经济形势座谈会中指出要安排加快重点项目上半年大头落地，保障能源畅通物流。钢材消费端疫情影响下，仍然处于低迷状态，房地产的弱势同样使得国内整体建材消费不及往年同期，供给端由于唐山疫情管控逐步解封，处于恢复阶段。短期内由于周度库存回升，消费整体弱势的影响，预计钢材价格将偏弱调整</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建议短线操作或观望。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黄天罡)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rPr>
            </w:pPr>
            <w:r>
              <w:rPr>
                <w:rFonts w:hint="cs"/>
                <w:color w:val="auto"/>
              </w:rPr>
              <w:t xml:space="preserve"> </w:t>
            </w:r>
            <w:r>
              <w:rPr>
                <w:color w:val="auto"/>
              </w:rPr>
              <w:t xml:space="preserve"> </w:t>
            </w:r>
            <w:r>
              <w:rPr>
                <w:rFonts w:hint="eastAsia"/>
                <w:color w:val="auto"/>
              </w:rPr>
              <w:t xml:space="preserve">  昨日进口铁矿港口现货全天价格下跌10-38。现青岛港PB粉972跌33，超特粉701跌29；曹妃甸港PB粉985跌38，超特粉718跌22；天津港PB粉995跌35，混合粉825跌10；江内港PB粉1012跌20，超特粉745跌15；鲅鱼圈港PB粉1025跌36；防城港港PB粉990跌30。</w:t>
            </w:r>
          </w:p>
          <w:p>
            <w:pPr>
              <w:widowControl/>
              <w:suppressAutoHyphens w:val="0"/>
              <w:jc w:val="left"/>
              <w:rPr>
                <w:rFonts w:hint="eastAsia"/>
                <w:color w:val="auto"/>
              </w:rPr>
            </w:pPr>
            <w:r>
              <w:rPr>
                <w:rFonts w:hint="eastAsia"/>
                <w:color w:val="auto"/>
              </w:rPr>
              <w:t xml:space="preserve">    4月4日-11日本期Mysteel澳洲巴西19港铁矿发运总量2283.5万吨，环比增加55.8万吨；澳洲发运量1731.3万吨，环比减少0.3万吨；其中澳洲发往中国的量1322.3万吨，环比减少156.7万吨；巴西发运量552.2万吨，环比增加56.1万吨。</w:t>
            </w:r>
          </w:p>
          <w:p>
            <w:pPr>
              <w:widowControl/>
              <w:suppressAutoHyphens w:val="0"/>
              <w:jc w:val="left"/>
              <w:rPr>
                <w:rFonts w:hint="eastAsia"/>
                <w:color w:val="auto"/>
              </w:rPr>
            </w:pPr>
            <w:r>
              <w:rPr>
                <w:rFonts w:hint="eastAsia"/>
                <w:color w:val="auto"/>
              </w:rPr>
              <w:t xml:space="preserve">    4月4日-10日中国47港铁矿石到港总量1961.8万吨，环比减少186.6万吨；中国45港铁矿石到港总量1885.8万吨，环比减少133.2万吨；北方六港铁矿石到港总量为867.2万吨，环比减少37.7万吨。</w:t>
            </w:r>
          </w:p>
          <w:p>
            <w:pPr>
              <w:widowControl/>
              <w:suppressAutoHyphens w:val="0"/>
              <w:jc w:val="left"/>
              <w:rPr>
                <w:rFonts w:hint="eastAsia" w:eastAsia="宋体"/>
                <w:color w:val="auto"/>
                <w:lang w:val="en-US" w:eastAsia="zh-CN"/>
              </w:rPr>
            </w:pPr>
            <w:r>
              <w:rPr>
                <w:rFonts w:hint="eastAsia"/>
                <w:color w:val="auto"/>
              </w:rPr>
              <w:t xml:space="preserve">    铁矿石市场处于高位震荡态势，当前钢厂高炉仍处于复产过程中，华北地区生产随着疫情缓解生产季节性有所恢复，铁水产量继续上行，港口库存保持去库状态，铁矿石供需边际改善，但疫情扰动下终端需求持续疲弱和钢铁低利润，使得矿石价格高位承压震荡</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建议短线或波段交易。</w:t>
            </w:r>
          </w:p>
          <w:p>
            <w:pPr>
              <w:rPr>
                <w:rFonts w:hint="eastAsia"/>
                <w:b/>
                <w:color w:val="auto"/>
                <w:lang w:eastAsia="zh-CN"/>
              </w:rPr>
            </w:pPr>
          </w:p>
          <w:p>
            <w:pPr>
              <w:rPr>
                <w:b/>
                <w:color w:val="auto"/>
                <w:lang w:eastAsia="zh-CN"/>
              </w:rPr>
            </w:pPr>
            <w:r>
              <w:rPr>
                <w:rFonts w:hint="eastAsia"/>
                <w:b/>
                <w:color w:val="auto"/>
                <w:lang w:eastAsia="zh-CN"/>
              </w:rPr>
              <w:t>(杨</w:t>
            </w:r>
            <w:r>
              <w:rPr>
                <w:rFonts w:hint="eastAsia"/>
                <w:b/>
                <w:color w:val="auto"/>
                <w:lang w:eastAsia="zh-CN"/>
              </w:rPr>
              <w:t>俊林)</w:t>
            </w: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焦炭新一轮提涨落地，焦煤价格稳中向好。山西介休1.3硫主焦2600元/吨，蒙5金泉提货价2950元/吨，澳煤到岸价410美元/吨（+11）；吕梁准一出厂价3550元/吨（+200），唐山二级焦到厂价3650元/吨，青岛港准一焦平仓价3800元/吨（+200）。</w:t>
            </w:r>
          </w:p>
          <w:p>
            <w:pPr>
              <w:widowControl/>
              <w:suppressAutoHyphens w:val="0"/>
              <w:ind w:firstLine="630" w:firstLineChars="300"/>
              <w:jc w:val="left"/>
              <w:rPr>
                <w:rFonts w:hint="eastAsia"/>
                <w:color w:val="auto"/>
              </w:rPr>
            </w:pPr>
            <w:r>
              <w:rPr>
                <w:rFonts w:hint="eastAsia"/>
                <w:color w:val="auto"/>
              </w:rPr>
              <w:t>国务院应对新型冠状病毒感染肺炎疫情联防联控机制发布关于切实做好货运物流保通保畅工作的通知。严禁擅自阻断或关闭高速公路、普通公路、航道船闸。不得擅自关停高速公路服务区、港口码头、铁路车站和航空机场，或擅自停止国际航行船舶船员换班。</w:t>
            </w:r>
          </w:p>
          <w:p>
            <w:pPr>
              <w:widowControl/>
              <w:suppressAutoHyphens w:val="0"/>
              <w:ind w:firstLine="630" w:firstLineChars="300"/>
              <w:jc w:val="left"/>
              <w:rPr>
                <w:rFonts w:hint="eastAsia"/>
                <w:color w:val="auto"/>
              </w:rPr>
            </w:pPr>
            <w:r>
              <w:rPr>
                <w:rFonts w:hint="eastAsia"/>
                <w:color w:val="auto"/>
              </w:rPr>
              <w:t>中国3月份社会融资规模增量46500亿元，预期37000亿元，2月为11900亿元；中国3月份货币供应M2同比增长9.7%，预期9.4%，2月为9.2%；中国3月份新增人民币贷款31300亿元，预期28000亿元，2月为12300亿元。</w:t>
            </w:r>
          </w:p>
          <w:p>
            <w:pPr>
              <w:widowControl/>
              <w:suppressAutoHyphens w:val="0"/>
              <w:ind w:firstLine="630" w:firstLineChars="300"/>
              <w:jc w:val="left"/>
              <w:rPr>
                <w:rFonts w:hint="eastAsia" w:eastAsia="宋体"/>
                <w:color w:val="auto"/>
                <w:lang w:val="en-US" w:eastAsia="zh-CN"/>
              </w:rPr>
            </w:pPr>
            <w:r>
              <w:rPr>
                <w:rFonts w:hint="eastAsia"/>
                <w:color w:val="auto"/>
              </w:rPr>
              <w:t>近期受补库需求推动，双焦现货持稳向好。不过盘面已反映新一轮提涨预期，短期疫情持续对物流造成阻碍，焦钢企业开工下滑，双焦需求减弱，且市场重新担忧终端需求不及预期的风险，盘面高位压力增大，近期高位震荡走势</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操作上暂时观望。</w:t>
            </w:r>
          </w:p>
          <w:p>
            <w:pPr>
              <w:rPr>
                <w:rFonts w:hint="eastAsia"/>
                <w:b/>
                <w:color w:val="auto"/>
                <w:lang w:eastAsia="zh-CN"/>
              </w:rPr>
            </w:pPr>
          </w:p>
          <w:p>
            <w:pPr>
              <w:rPr>
                <w:b/>
                <w:color w:val="auto"/>
                <w:lang w:eastAsia="zh-CN"/>
              </w:rPr>
            </w:pPr>
            <w:r>
              <w:rPr>
                <w:rFonts w:hint="eastAsia"/>
                <w:b/>
                <w:color w:val="auto"/>
                <w:lang w:eastAsia="zh-CN"/>
              </w:rPr>
              <w:t>（李岩</w:t>
            </w:r>
            <w:r>
              <w:rPr>
                <w:rFonts w:hint="eastAsia"/>
                <w:b/>
                <w:color w:val="auto"/>
                <w:lang w:eastAsia="zh-CN"/>
              </w:rPr>
              <w:t>）</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震荡下行，沪铝主力月2205合约收至21005元/吨，跌790元，跌幅3.62%。现货方面，11日长江现货成交价格21210-21250元/吨，跌560元，贴水80-贴水40；广东南储报21250-21310元/吨，跌550元；华通报21260-21300元/吨，跌570元。接货商下调报价出货但幅度有限，接货方保持观望态度按需采购，实际需求一般，成交不理想。</w:t>
            </w:r>
          </w:p>
          <w:p>
            <w:pPr>
              <w:widowControl/>
              <w:suppressAutoHyphens w:val="0"/>
              <w:ind w:firstLine="630" w:firstLineChars="300"/>
              <w:jc w:val="left"/>
              <w:rPr>
                <w:rFonts w:hint="eastAsia"/>
                <w:color w:val="auto"/>
                <w:lang w:val="en-US" w:eastAsia="zh-CN"/>
              </w:rPr>
            </w:pPr>
            <w:r>
              <w:rPr>
                <w:rFonts w:hint="eastAsia"/>
                <w:color w:val="auto"/>
                <w:lang w:val="en-US" w:eastAsia="zh-CN"/>
              </w:rPr>
              <w:t>11日，SMM统计国内电解铝社会库存106.1万吨，较上周四库存减少0.5万吨。昨日西澳FOB氧化铝报价395美元/吨，跌破400美元/吨的关口，海内价差收窄至410元/吨，氧化铝出口套利的机会开始减少. 在国内新投产能逐步放量的前提下，出口数量或低于此前每月出口15-20万吨左右的预期。</w:t>
            </w:r>
          </w:p>
          <w:p>
            <w:pPr>
              <w:widowControl/>
              <w:suppressAutoHyphens w:val="0"/>
              <w:ind w:firstLine="630" w:firstLineChars="300"/>
              <w:jc w:val="left"/>
              <w:rPr>
                <w:color w:val="auto"/>
              </w:rPr>
            </w:pPr>
            <w:r>
              <w:rPr>
                <w:rFonts w:hint="eastAsia"/>
                <w:color w:val="auto"/>
                <w:lang w:val="en-US" w:eastAsia="zh-CN"/>
              </w:rPr>
              <w:t>目前西方国家继续对俄罗斯实施新的制裁，俄铝向外出口继续受阻，欧洲天然气价格有所回落，海外供应忧虑降温。国内云南、广西等地电解铝复产及新增产能投产提速，产量有望赶超去年同期。下游受疫情影响加工企业开工持续走弱，需求复苏受阻。短期需求疲软铝价上涨乏力，加上美联储鹰派言论致有色整体承压，美元持续走强，而国内疫情依旧严峻，运输限制有所缓解但还未恢复正常，国内铝供需错配状态持续，铝价承压运行为主，持续关注疫情对产业链的影响。</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操作上观望或短线交易。</w:t>
            </w:r>
          </w:p>
          <w:p>
            <w:pPr>
              <w:rPr>
                <w:rFonts w:hint="eastAsia"/>
                <w:b/>
                <w:color w:val="auto"/>
                <w:lang w:eastAsia="zh-CN"/>
              </w:rPr>
            </w:pPr>
          </w:p>
          <w:p>
            <w:pPr>
              <w:rPr>
                <w:b/>
                <w:color w:val="auto"/>
                <w:lang w:eastAsia="zh-CN"/>
              </w:rPr>
            </w:pPr>
            <w:r>
              <w:rPr>
                <w:rFonts w:hint="eastAsia"/>
                <w:b/>
                <w:color w:val="auto"/>
                <w:lang w:eastAsia="zh-CN"/>
              </w:rPr>
              <w:t>（有</w:t>
            </w:r>
            <w:r>
              <w:rPr>
                <w:rFonts w:hint="eastAsia"/>
                <w:b/>
                <w:color w:val="auto"/>
                <w:lang w:eastAsia="zh-CN"/>
              </w:rPr>
              <w:t>色组）</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昨日欧美股市下挫，海外主要金融市场情绪受到压抑。国内3月金融数据总量超预期，不过在居民和企业中长期贷款方面仍表现疲弱，在疫情防控拖累国内经济的情况下，政策面仍力求发力，不过昨日中美10年期国债收益率发生倒挂，这将限制国内降息的空间，主要的政策预期还在于降准和政府发债等方面。昨日国内工业品期货指数明显继续走弱，尤其化工板块走弱明显，对天胶市场情绪有一定拖累，不过RU与整体工业品指数之间的关系较为复杂，对此应保持关注。行业方面，昨日泰国原料胶水和杯胶价格持稳，整体保持偏强局面，国内云南西双版纳产区原料供应正常，昨日胶水参考价格在11700-12000元/吨。受到疫情影响，国内局部地区交投运输仍有所受限，下游采买谨慎，维持刚需为主，现货市场上海20年SCRWF主流价格在12800—12850元/吨；上海地区SVR3L参考价格在12850—12900元/吨；云南市场国产10#胶参考价格12000—12200元/吨。</w:t>
            </w:r>
          </w:p>
          <w:p>
            <w:pPr>
              <w:widowControl/>
              <w:suppressAutoHyphens w:val="0"/>
              <w:ind w:firstLine="630" w:firstLineChars="300"/>
              <w:jc w:val="left"/>
              <w:rPr>
                <w:rFonts w:hint="eastAsia" w:eastAsia="宋体"/>
                <w:color w:val="auto"/>
                <w:lang w:eastAsia="zh-CN"/>
              </w:rPr>
            </w:pPr>
            <w:r>
              <w:rPr>
                <w:rFonts w:hint="eastAsia"/>
                <w:color w:val="auto"/>
              </w:rPr>
              <w:t>技术面：昨日RU2209保持低位窄幅震荡， 13400-13500继续体现出明显的支撑作用，上方短期压力13600同样限制了RU的反弹幅度，在持续震荡之后，投资者需密切关注短期的方向选择。</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操作建议：短线密切关注多空博弈方向，中线投资者考虑逢跌至低价左侧少量布局多单。</w:t>
            </w:r>
          </w:p>
          <w:p>
            <w:pPr>
              <w:rPr>
                <w:rFonts w:hint="eastAsia"/>
                <w:b/>
                <w:color w:val="auto"/>
                <w:lang w:eastAsia="zh-CN"/>
              </w:rPr>
            </w:pPr>
          </w:p>
          <w:p>
            <w:pPr>
              <w:rPr>
                <w:b/>
                <w:color w:val="auto"/>
                <w:lang w:eastAsia="zh-CN"/>
              </w:rPr>
            </w:pPr>
            <w:r>
              <w:rPr>
                <w:rFonts w:hint="eastAsia"/>
                <w:b/>
                <w:color w:val="auto"/>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美国能源政策辩论：共和党表示拜登政策使生产商不愿投资更多资金，而民主党人则表示该行业有责任将利润分配给更多的产出而不是股东回报。拜登签署暂停与俄罗斯正常贸易地位的法案，提高了从俄罗斯进口金属的关税，立法允许美国在2024年之前征收更高的关税。美国银行：维持2022-2023年布伦特原油平均价格102美元/桶的预测，将布伦特原油夏季峰值价格降至120美元/桶。欧美市场，汽油裂解依然坚挺，柴油和航煤裂解回落，但仍处于同期高位，新加坡市场，汽油、柴油、航煤裂解依然保持强势，在历史高位徘徊，中国市场受疫情的影响，成品油裂解涨幅低于国外市场。根据俄罗斯能源部旗下CDU-TEK的数据，从4月1日到6日，俄罗斯平均原油日产量为143.6万吨，相当于每天约1052万桶，比3月日均1110万桶的水平减少4.5%。周三公布的EIA报告显示，上周美国国内原油产量增加10万桶至1180万桶/日。除却战略储备的商业原油库存增加242.1万桶至4.124亿桶，增加0.6%。有外媒称，周三，美国众议院能源调查委员会对埃克森美孚、英国石油、雪佛龙、壳牌美国分公司等6家公司的首席执行官进行质询，质询时间长达6小时。3月份中国独立炼油厂的进口从2月份的四个月低点回升6.7%至1405.5万吨，但这一趋势在4月份难以持续。国际能源署（IEA）确认全球释储规模达2.4亿桶。美国至4月1日当周EIA原油库存增加242.1万桶，预期减少205.6万桶，前值减少344.9万桶。上周美国国内原油产量增加10万桶至1180万桶/日。</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乌克兰</w:t>
            </w:r>
            <w:bookmarkStart w:id="0" w:name="_GoBack"/>
            <w:bookmarkEnd w:id="0"/>
            <w:r>
              <w:rPr>
                <w:rFonts w:hint="eastAsia"/>
                <w:color w:val="auto"/>
              </w:rPr>
              <w:t>再次释放和谈积极信号，且国际能源署联合释放战略储备使得供应担忧缓和，国际油价下跌。NYMEX原油期货05合约94.29跌3.97美元/桶或4.04%；ICE布油期货06合约98.48跌4.30美元/桶或4.18%。</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操作思路以震荡偏空为主，关注布伦特原油震荡区间95-105美元/桶，注意止盈止损。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9656767"/>
    <w:rsid w:val="099174FC"/>
    <w:rsid w:val="0C12090D"/>
    <w:rsid w:val="14E22F0B"/>
    <w:rsid w:val="16714D70"/>
    <w:rsid w:val="18B11A3E"/>
    <w:rsid w:val="18B21305"/>
    <w:rsid w:val="195C02AF"/>
    <w:rsid w:val="1A8E2066"/>
    <w:rsid w:val="1C955016"/>
    <w:rsid w:val="1CAE3AF0"/>
    <w:rsid w:val="1F7E29BD"/>
    <w:rsid w:val="20970D76"/>
    <w:rsid w:val="227F224C"/>
    <w:rsid w:val="23F270CF"/>
    <w:rsid w:val="2A7A4984"/>
    <w:rsid w:val="2D8D3BC9"/>
    <w:rsid w:val="321D62B5"/>
    <w:rsid w:val="353D5E3C"/>
    <w:rsid w:val="384D33C8"/>
    <w:rsid w:val="406C6812"/>
    <w:rsid w:val="430419B8"/>
    <w:rsid w:val="4A29450B"/>
    <w:rsid w:val="4B25247A"/>
    <w:rsid w:val="4D9E7DC0"/>
    <w:rsid w:val="4FCE0CA2"/>
    <w:rsid w:val="578723B2"/>
    <w:rsid w:val="5B922A05"/>
    <w:rsid w:val="66714647"/>
    <w:rsid w:val="66CC74E1"/>
    <w:rsid w:val="73C8743F"/>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5</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2022-04-12T00:45:36Z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