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4月7</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rPr>
          <w:color w:val="auto"/>
        </w:rPr>
      </w:pPr>
    </w:p>
    <w:p>
      <w:pPr>
        <w:rPr>
          <w:rFonts w:hint="eastAsia"/>
          <w:color w:val="auto"/>
        </w:rPr>
      </w:pPr>
      <w:r>
        <w:rPr>
          <w:rFonts w:hint="eastAsia"/>
          <w:color w:val="auto"/>
        </w:rPr>
        <w:t>【国际宏观基本面信息】</w:t>
      </w:r>
    </w:p>
    <w:p>
      <w:pPr>
        <w:rPr>
          <w:rFonts w:hint="eastAsia"/>
          <w:color w:val="auto"/>
        </w:rPr>
      </w:pPr>
      <w:r>
        <w:rPr>
          <w:rFonts w:hint="eastAsia"/>
          <w:color w:val="auto"/>
        </w:rPr>
        <w:t>1  美联储会议纪要显示，3月会上，多名联储官员认为，若通胀和经济形势需要，未来可能要一次或者更多次加息50个基点；联储决策者预计本次缩表速度比2017年到19年的上次缩表期快，计划每个月减少持有资产的规模多达950亿美元，几乎是上次缩表时每月最高规模的两倍</w:t>
      </w:r>
    </w:p>
    <w:p>
      <w:pPr>
        <w:rPr>
          <w:rFonts w:hint="eastAsia"/>
          <w:color w:val="auto"/>
        </w:rPr>
      </w:pPr>
      <w:r>
        <w:rPr>
          <w:rFonts w:hint="eastAsia"/>
          <w:color w:val="auto"/>
        </w:rPr>
        <w:t>2  据欧盟统计局的估计，2月欧元区PPI同比飙升31.4%，预期31.6%；欧盟PPI同比飙升31.1%。环比来看，2月欧元区与欧盟PPI环比涨幅均为1.1%，前值分别为5.1%与5.0%。</w:t>
      </w:r>
    </w:p>
    <w:p>
      <w:pPr>
        <w:rPr>
          <w:rFonts w:hint="eastAsia"/>
          <w:color w:val="auto"/>
        </w:rPr>
      </w:pPr>
      <w:r>
        <w:rPr>
          <w:rFonts w:hint="eastAsia"/>
          <w:color w:val="auto"/>
        </w:rPr>
        <w:t>3  国际能源署（IEA）成员国们，正计划从他们的储备中再释放近6000万桶石油，以遏制俄乌局势爆发后油价的急剧上涨。</w:t>
      </w:r>
    </w:p>
    <w:p>
      <w:pPr>
        <w:rPr>
          <w:rFonts w:hint="eastAsia"/>
          <w:color w:val="auto"/>
        </w:rPr>
      </w:pPr>
      <w:r>
        <w:rPr>
          <w:rFonts w:hint="eastAsia"/>
          <w:color w:val="auto"/>
        </w:rPr>
        <w:t>4  美英宣布对俄罗斯新一轮的制裁措施</w:t>
      </w:r>
    </w:p>
    <w:p>
      <w:pPr>
        <w:rPr>
          <w:rFonts w:hint="eastAsia"/>
          <w:color w:val="auto"/>
        </w:rPr>
      </w:pPr>
    </w:p>
    <w:p>
      <w:pPr>
        <w:rPr>
          <w:rFonts w:hint="eastAsia"/>
          <w:color w:val="auto"/>
        </w:rPr>
      </w:pPr>
      <w:r>
        <w:rPr>
          <w:rFonts w:hint="eastAsia"/>
          <w:color w:val="auto"/>
        </w:rPr>
        <w:t>【国内宏观基本面信息】</w:t>
      </w:r>
    </w:p>
    <w:p>
      <w:pPr>
        <w:rPr>
          <w:rFonts w:hint="eastAsia"/>
          <w:color w:val="auto"/>
        </w:rPr>
      </w:pPr>
      <w:r>
        <w:rPr>
          <w:rFonts w:hint="eastAsia"/>
          <w:color w:val="auto"/>
        </w:rPr>
        <w:t>1 李克强主持召开国务院常务会议，会议指出，要适时灵活运用多种货币政策工具，更好发挥总量和结构双重功能，加大对实体经济的支持。一是加大稳健的货币政策实施力度，保持流动性合理充裕。</w:t>
      </w:r>
    </w:p>
    <w:p>
      <w:pPr>
        <w:rPr>
          <w:rFonts w:hint="eastAsia"/>
          <w:color w:val="auto"/>
        </w:rPr>
      </w:pPr>
      <w:r>
        <w:rPr>
          <w:rFonts w:hint="eastAsia"/>
          <w:color w:val="auto"/>
        </w:rPr>
        <w:t>2  中国人民银行就《中华人民共和国金融稳定法（草案征求意见稿）》公开征求意见。提出，国家建立金融稳定保障基金，由国家金融稳定发展统筹协调机制统筹管理，作为应对重大金融风险的后备资金。要求，任何单位和个人未经批准不得设立金融机构，不得从事或者变相从事金融业务活动。</w:t>
      </w:r>
    </w:p>
    <w:p>
      <w:pPr>
        <w:rPr>
          <w:rFonts w:hint="eastAsia"/>
          <w:color w:val="auto"/>
        </w:rPr>
      </w:pPr>
    </w:p>
    <w:p>
      <w:pPr>
        <w:rPr>
          <w:rFonts w:hint="eastAsia"/>
          <w:color w:val="auto"/>
        </w:rPr>
      </w:pPr>
      <w:r>
        <w:rPr>
          <w:rFonts w:hint="eastAsia"/>
          <w:color w:val="auto"/>
        </w:rPr>
        <w:t>【当日重要经济数据】</w:t>
      </w:r>
    </w:p>
    <w:p>
      <w:pPr>
        <w:rPr>
          <w:rFonts w:hint="eastAsia"/>
          <w:color w:val="auto"/>
        </w:rPr>
      </w:pPr>
      <w:r>
        <w:rPr>
          <w:rFonts w:hint="eastAsia"/>
          <w:color w:val="auto"/>
        </w:rPr>
        <w:t>17:00</w:t>
      </w:r>
      <w:r>
        <w:rPr>
          <w:rFonts w:hint="eastAsia"/>
          <w:color w:val="auto"/>
        </w:rPr>
        <w:tab/>
      </w:r>
      <w:r>
        <w:rPr>
          <w:rFonts w:hint="eastAsia"/>
          <w:color w:val="auto"/>
        </w:rPr>
        <w:t>欧元区2月零售销售月率(%)</w:t>
      </w:r>
      <w:r>
        <w:rPr>
          <w:rFonts w:hint="eastAsia"/>
          <w:color w:val="auto"/>
        </w:rPr>
        <w:tab/>
      </w:r>
      <w:r>
        <w:rPr>
          <w:rFonts w:hint="eastAsia"/>
          <w:color w:val="auto"/>
        </w:rPr>
        <w:t>0.2</w:t>
      </w:r>
      <w:r>
        <w:rPr>
          <w:rFonts w:hint="eastAsia"/>
          <w:color w:val="auto"/>
        </w:rPr>
        <w:tab/>
      </w:r>
      <w:r>
        <w:rPr>
          <w:rFonts w:hint="eastAsia"/>
          <w:color w:val="auto"/>
        </w:rPr>
        <w:t>0.6</w:t>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欧元区2月零售销售年率(%)</w:t>
      </w:r>
      <w:r>
        <w:rPr>
          <w:rFonts w:hint="eastAsia"/>
          <w:color w:val="auto"/>
        </w:rPr>
        <w:tab/>
      </w:r>
      <w:r>
        <w:rPr>
          <w:rFonts w:hint="eastAsia"/>
          <w:color w:val="auto"/>
        </w:rPr>
        <w:t>7.8</w:t>
      </w:r>
      <w:r>
        <w:rPr>
          <w:rFonts w:hint="eastAsia"/>
          <w:color w:val="auto"/>
        </w:rPr>
        <w:tab/>
      </w:r>
      <w:r>
        <w:rPr>
          <w:rFonts w:hint="eastAsia"/>
          <w:color w:val="auto"/>
        </w:rPr>
        <w:t>4.8</w:t>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20:30</w:t>
      </w:r>
      <w:r>
        <w:rPr>
          <w:rFonts w:hint="eastAsia"/>
          <w:color w:val="auto"/>
        </w:rPr>
        <w:tab/>
      </w:r>
      <w:r>
        <w:rPr>
          <w:rFonts w:hint="eastAsia"/>
          <w:color w:val="auto"/>
        </w:rPr>
        <w:t>美国截至4月2日当周初请失业金人数(万)</w:t>
      </w:r>
      <w:r>
        <w:rPr>
          <w:rFonts w:hint="eastAsia"/>
          <w:color w:val="auto"/>
        </w:rPr>
        <w:tab/>
      </w:r>
      <w:r>
        <w:rPr>
          <w:rFonts w:hint="eastAsia"/>
          <w:color w:val="auto"/>
        </w:rPr>
        <w:t>20.2</w:t>
      </w:r>
      <w:r>
        <w:rPr>
          <w:rFonts w:hint="eastAsia"/>
          <w:color w:val="auto"/>
        </w:rPr>
        <w:tab/>
      </w:r>
      <w:r>
        <w:rPr>
          <w:rFonts w:hint="eastAsia"/>
          <w:color w:val="auto"/>
        </w:rPr>
        <w:t>20</w:t>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美国截至4月2日当周初请失业金人数四周均值(万)</w:t>
      </w:r>
      <w:r>
        <w:rPr>
          <w:rFonts w:hint="eastAsia"/>
          <w:color w:val="auto"/>
        </w:rPr>
        <w:tab/>
      </w:r>
      <w:r>
        <w:rPr>
          <w:rFonts w:hint="eastAsia"/>
          <w:color w:val="auto"/>
        </w:rPr>
        <w:t>20.85</w:t>
      </w:r>
      <w:r>
        <w:rPr>
          <w:rFonts w:hint="eastAsia"/>
          <w:color w:val="auto"/>
        </w:rPr>
        <w:tab/>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美国截至3月26日当周续请失业金人数(万)</w:t>
      </w:r>
      <w:r>
        <w:rPr>
          <w:rFonts w:hint="eastAsia"/>
          <w:color w:val="auto"/>
        </w:rPr>
        <w:tab/>
      </w:r>
      <w:r>
        <w:rPr>
          <w:rFonts w:hint="eastAsia"/>
          <w:color w:val="auto"/>
        </w:rPr>
        <w:t>130.7</w:t>
      </w:r>
      <w:r>
        <w:rPr>
          <w:rFonts w:hint="eastAsia"/>
          <w:color w:val="auto"/>
        </w:rPr>
        <w:tab/>
      </w:r>
      <w:r>
        <w:rPr>
          <w:rFonts w:hint="eastAsia"/>
          <w:color w:val="auto"/>
        </w:rPr>
        <w:t>131.1</w:t>
      </w:r>
    </w:p>
    <w:p>
      <w:pPr>
        <w:rPr>
          <w:rFonts w:hint="eastAsia"/>
          <w:color w:val="auto"/>
        </w:rPr>
      </w:pPr>
    </w:p>
    <w:p>
      <w:pPr>
        <w:rPr>
          <w:rFonts w:hint="eastAsia"/>
          <w:color w:val="auto"/>
        </w:rPr>
      </w:pPr>
      <w:r>
        <w:rPr>
          <w:rFonts w:hint="eastAsia"/>
          <w:color w:val="auto"/>
        </w:rPr>
        <w:t>【证券指数思路】</w:t>
      </w:r>
    </w:p>
    <w:p>
      <w:pPr>
        <w:rPr>
          <w:rFonts w:hint="eastAsia"/>
          <w:color w:val="auto"/>
        </w:rPr>
      </w:pPr>
      <w:r>
        <w:rPr>
          <w:rFonts w:hint="eastAsia"/>
          <w:color w:val="auto"/>
        </w:rPr>
        <w:t xml:space="preserve">       沪指收报3283.43点，涨0.02%，成交额4336亿元。深成指收报12172.91点，跌0.45%，成交额5325亿元。创业板指收报2633.91点，跌1.24%，成交额1775亿元。维持节前观点，即市场整体仍处于震荡筑底的过程。也会继续在震荡小箱体中运行，谨慎日内短线思路没有改变，暂时不参与长线。</w:t>
      </w: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ascii="宋体" w:hAnsi="宋体" w:cs="宋体"/>
          <w:color w:val="auto"/>
          <w:kern w:val="0"/>
          <w:szCs w:val="21"/>
          <w:lang w:eastAsia="zh-CN"/>
        </w:rPr>
      </w:pPr>
    </w:p>
    <w:p>
      <w:pP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center"/>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32"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涨于99.62部位；人民币离岸价收升于6.357。欧美股市收低。美股科技股和成长股领跌。美联储公布的会议记录显示，其在5月份削减庞大的资产负债近乎达成一致。NYMEX5月原油下跌5.73美元，结算价报每桶96.23美元。此前主要石油消费国表示将从储备中释放石油，以应对供应趋紧，同时美联储会议记录发出鹰派信号，提振美元。芝加哥(CBOT)大豆下跌，因交易商从近期涨势中锁定获利。CBOT 5月大豆下跌11-1/2美分，结算价报每蒲式耳16.19-1/2美元。CBOT 5月豆粕收跌4.10美元，结算价报每短吨461.80美元；5月豆油下跌0.58美分，结算价报每磅71.83美分。主力大豆在50日移动均线切入位上方寻获支撑。美国农业部周三公布，民间出口商报告向中国出口销售13.2万吨大豆，2021/2022市场年度付运。美国农业部定于北京时间周四20:30公布周度出口销售报告。针对行业分析师的一项调查显示，分析师平均预期，截至3月31日当周，美国大豆出口销售量料为60-155万吨。其中，2021/22年度大豆出口销售量预计料为50-115万吨，美国2022/23年度大豆出口销售料介于10-40万吨。</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框架如前，美豆在季度库存与面积预期报告后趋于高位回撤性波动，但成本因素及播种期天气仍给市场带来不确定。大连盘跟随。9月油粕比夜盘反弹至2.70；粕5－9逆差在67点。粕9日内看3800－3850的波动，宜灵活。　　</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FF0000"/>
                <w:lang w:eastAsia="zh-CN"/>
              </w:rPr>
              <w:t>（农产品部</w:t>
            </w:r>
            <w:r>
              <w:rPr>
                <w:rFonts w:hint="eastAsia"/>
                <w:b/>
                <w:color w:val="auto"/>
                <w:lang w:eastAsia="zh-CN"/>
              </w:rPr>
              <w:t>）</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由于俄乌冲突以及新冠疫情等因素的影响，多个国家的食品和能源价格已经升至历史高位，美联储临时主席鲍威尔表示支持美联储快速加息，将利率上调至中性水平。国际能源署（IEA）周三表示，其成员国已同意释放1.2亿桶石油储备，其中美国贡献一半，以在俄乌冲突后为油价降温，油价下跌。美棉高位，5/7合约焦点有侧重，5月关注未点价销售合约量，7月更关注种植进度和天气情况。据美国农业部（USDA）统计，至4月3日全美棉花播种进度4%，落后去年同期及近五年均值2%。其中得州播种进度6%，较去年同期及近五年平均进度落后3%。国内棉花现货市场成交依旧保持清淡，下游需求未见好转，纺企补库仍以刚需为主。根据对部分疆内棉花企业了解，截至目前，大部分轧花厂销售进度在30%-50%不等，较往年同期慢40%左右。部分企业由于资金压力较大适当降价出货，不少棉花企业推出一口价资源,包含出库费减免等来吸引客户采购,当前一口价双28/29级新疆资源包含出库费，提货价在22600-22800元/吨；虽然大部分贸易商纷纷下调基差，但是成交量并未有明显改善。周内中国棉花价格指数周均价22800元/吨。受低温天气影响，南疆大部地区将于清明节后4月8日至10日左右开始大面积播种，较去年略有推迟。北疆地区受雨雪天气影响可能略有推迟，具体还要看4月初的天气情况，如有推迟可选种早熟品种，整体来看影响不大。从植棉面积来看，今年南疆部分区域继续执行退耕还林、粮食种植比例要求等相关政策，通过库尔勒、轮台等农户反馈，粮棉种植比例要求在12%-15%不等，今年植棉面积或不会出现较大幅度的增加，与去年维持或略降的可能性较大。总的来看，虽然当前郑棉基本面偏弱，但在外棉的带动下，其底部支撑相对较强。</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操作上，郑棉震荡对待，日内偏弱震荡；中长线空单续持。</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FF0000"/>
                <w:lang w:eastAsia="zh-CN"/>
              </w:rPr>
              <w:t>（</w:t>
            </w:r>
            <w:r>
              <w:rPr>
                <w:rFonts w:hint="eastAsia"/>
                <w:b/>
                <w:color w:val="FF0000"/>
                <w:lang w:val="en-US" w:eastAsia="zh-CN"/>
              </w:rPr>
              <w:t>苗玲</w:t>
            </w:r>
            <w:r>
              <w:rPr>
                <w:rFonts w:hint="eastAsia"/>
                <w:b/>
                <w:color w:val="FF0000"/>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PTA</w:t>
            </w:r>
          </w:p>
        </w:tc>
        <w:tc>
          <w:tcPr>
            <w:tcW w:w="6410" w:type="dxa"/>
            <w:tcBorders>
              <w:top w:val="single" w:color="000000" w:sz="4" w:space="0"/>
              <w:left w:val="single" w:color="000000" w:sz="4" w:space="0"/>
              <w:bottom w:val="single" w:color="000000" w:sz="4" w:space="0"/>
              <w:right w:val="nil"/>
            </w:tcBorders>
            <w:vAlign w:val="top"/>
          </w:tcPr>
          <w:p>
            <w:pPr>
              <w:ind w:firstLine="630" w:firstLineChars="300"/>
              <w:rPr>
                <w:rFonts w:hint="eastAsia" w:ascii="Times New Roman" w:hAnsi="Times New Roman" w:eastAsia="宋体" w:cs="Times New Roman"/>
                <w:color w:val="auto"/>
                <w:kern w:val="2"/>
                <w:sz w:val="21"/>
                <w:lang w:val="en-US" w:eastAsia="zh-CN" w:bidi="ar-SA"/>
              </w:rPr>
            </w:pPr>
            <w:r>
              <w:rPr>
                <w:rFonts w:hint="eastAsia"/>
                <w:color w:val="auto"/>
              </w:rPr>
              <w:t>国际能源署表示将释放1.2亿桶原油储备，且美联储发出鹰派信号提振美元， 国际油价大幅下跌；原料PX CFR价格收涨至1192.67美元/吨，PTA现货价格6180元，PTA加工区间收跌至435.48元/吨； PTA开工负荷稳定在74.25%，下游聚酯负荷下滑至88.73%。综上，终端不佳，聚酯负荷有继续降低预期，且隔夜原油重挫，PTA流通盘偏紧难敌多方利空</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今日PTA现货市场价格或有下探。</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FF0000"/>
                <w:lang w:eastAsia="zh-CN"/>
              </w:rPr>
              <w:t>（</w:t>
            </w:r>
            <w:r>
              <w:rPr>
                <w:rFonts w:hint="eastAsia"/>
                <w:b/>
                <w:color w:val="FF0000"/>
                <w:lang w:val="en-US" w:eastAsia="zh-CN"/>
              </w:rPr>
              <w:t>苗玲</w:t>
            </w:r>
            <w:r>
              <w:rPr>
                <w:rFonts w:hint="eastAsia"/>
                <w:b/>
                <w:color w:val="FF0000"/>
                <w:lang w:eastAsia="zh-CN"/>
              </w:rPr>
              <w:t>）</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钢材周三价格震荡，螺纹2210合约收于5117，热卷2210合约收于5250。现货方面，6日唐山普方坯出厂价报4860（平），上海地区螺纹钢现货价格(HRB400 20mm)5100元（+70），热卷现货价格(4.75mm)5280元（-10）。</w:t>
            </w:r>
          </w:p>
          <w:p>
            <w:pPr>
              <w:widowControl/>
              <w:suppressAutoHyphens w:val="0"/>
              <w:ind w:firstLine="630" w:firstLineChars="300"/>
              <w:jc w:val="left"/>
              <w:rPr>
                <w:rFonts w:hint="eastAsia"/>
                <w:color w:val="auto"/>
              </w:rPr>
            </w:pPr>
            <w:r>
              <w:rPr>
                <w:rFonts w:hint="eastAsia"/>
                <w:color w:val="auto"/>
              </w:rPr>
              <w:t>国务院总理李克强4月6日主持召开国务院常务会议，决定对特困行业实行阶段性缓缴养老保险费政策，加大失业保险支持稳岗和培训力度；部署适时运用货币政策工具，更加有效支持实体经济发展。</w:t>
            </w:r>
          </w:p>
          <w:p>
            <w:pPr>
              <w:widowControl/>
              <w:suppressAutoHyphens w:val="0"/>
              <w:ind w:firstLine="630" w:firstLineChars="300"/>
              <w:jc w:val="left"/>
              <w:rPr>
                <w:rFonts w:hint="eastAsia"/>
                <w:color w:val="auto"/>
              </w:rPr>
            </w:pPr>
            <w:r>
              <w:rPr>
                <w:rFonts w:hint="eastAsia"/>
                <w:color w:val="auto"/>
              </w:rPr>
              <w:t>据mysteel数据，广东突发安全检查，短流程钢厂临时停产，预计日均影响产量约1.3万吨。目前浙江省内钢厂大多处于不饱和生产状态，受疫情影响，钢厂物流运输受阻，下游需求有所减弱，叠加钢坯价格高位运行，部分调坯轧材厂停产检修。</w:t>
            </w:r>
          </w:p>
          <w:p>
            <w:pPr>
              <w:widowControl/>
              <w:suppressAutoHyphens w:val="0"/>
              <w:ind w:firstLine="630" w:firstLineChars="300"/>
              <w:jc w:val="left"/>
              <w:rPr>
                <w:rFonts w:hint="eastAsia"/>
                <w:color w:val="auto"/>
              </w:rPr>
            </w:pPr>
            <w:r>
              <w:rPr>
                <w:rFonts w:hint="eastAsia"/>
                <w:color w:val="auto"/>
              </w:rPr>
              <w:t>本周唐山地区主流样本钢厂平均铁水不含税成本为3607元/吨，平均钢坯含税成本4684元/吨，周环比上调103元/吨，与4月6日当前普方坯出厂价格4880元/吨相比，钢厂平均毛利润196元/吨，周环比下调53元/吨。</w:t>
            </w:r>
          </w:p>
          <w:p>
            <w:pPr>
              <w:widowControl/>
              <w:suppressAutoHyphens w:val="0"/>
              <w:ind w:firstLine="630" w:firstLineChars="300"/>
              <w:jc w:val="left"/>
              <w:rPr>
                <w:rFonts w:hint="eastAsia"/>
                <w:color w:val="auto"/>
              </w:rPr>
            </w:pPr>
            <w:r>
              <w:rPr>
                <w:rFonts w:hint="eastAsia"/>
                <w:color w:val="auto"/>
              </w:rPr>
              <w:t>中汽协预计，2022年3月汽车行业销量完成224.9万辆，环比增长29.5%，同比下降11%；2022年1-3月累计预计完成651.7万辆，同比增长0.5%。</w:t>
            </w:r>
          </w:p>
          <w:p>
            <w:pPr>
              <w:widowControl/>
              <w:suppressAutoHyphens w:val="0"/>
              <w:ind w:firstLine="630" w:firstLineChars="300"/>
              <w:jc w:val="left"/>
              <w:rPr>
                <w:rFonts w:hint="eastAsia" w:eastAsia="宋体"/>
                <w:color w:val="auto"/>
                <w:lang w:val="en-US" w:eastAsia="zh-CN"/>
              </w:rPr>
            </w:pPr>
            <w:r>
              <w:rPr>
                <w:rFonts w:hint="eastAsia"/>
                <w:color w:val="auto"/>
              </w:rPr>
              <w:t>节后建材现货市场交投氛围浓，现货价格上行，板材相对成交平淡，高位运行为主。目前钢材市场供应端受到疫情影响，同时广东地区安全检查等原因，产量恢复速度仍然受阻。需求端由于国内房地产政策延续宽松，虽然一季度国内重点城市的新建商品住宅签约面积环比有较大跌幅，但市场对国家稳增长预期下房地产后续需求有所期待，支撑钢材价格。弱现实强预期仍然是钢材市场主导逻辑，稳增长目标下钢材预计保持震荡偏强走势</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建议短线跟随或观望。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cs"/>
                <w:color w:val="auto"/>
              </w:rPr>
              <w:t xml:space="preserve"> </w:t>
            </w:r>
            <w:r>
              <w:rPr>
                <w:color w:val="auto"/>
              </w:rPr>
              <w:t xml:space="preserve">  </w:t>
            </w:r>
            <w:r>
              <w:rPr>
                <w:rFonts w:hint="eastAsia"/>
                <w:color w:val="auto"/>
              </w:rPr>
              <w:t xml:space="preserve">    昨日进口铁矿港口现货全天价格上涨5-27。现青岛港PB粉1025涨9，超特粉747涨10；曹妃甸港PB粉1040涨5，超特粉760涨15；天津港PB粉1052涨22，超特粉765涨27；江内港PB粉1052涨12，超特粉785涨15；鲅鱼圈港PB粉1075涨7；防城港港PB粉1030涨5。</w:t>
            </w:r>
          </w:p>
          <w:p>
            <w:pPr>
              <w:widowControl/>
              <w:suppressAutoHyphens w:val="0"/>
              <w:jc w:val="left"/>
              <w:rPr>
                <w:rFonts w:hint="eastAsia"/>
                <w:color w:val="auto"/>
              </w:rPr>
            </w:pPr>
            <w:r>
              <w:rPr>
                <w:rFonts w:hint="eastAsia"/>
                <w:color w:val="auto"/>
              </w:rPr>
              <w:t xml:space="preserve">      国务院总理李克强4月6日主持召开国务院常务会议，决定对特困行业实行阶段性缓缴养老保险费政策，加大失业保险支持稳岗和培训力度；部署适时运用货币政策工具，更加有效支持实体经济发展。</w:t>
            </w:r>
          </w:p>
          <w:p>
            <w:pPr>
              <w:widowControl/>
              <w:suppressAutoHyphens w:val="0"/>
              <w:jc w:val="left"/>
              <w:rPr>
                <w:rFonts w:hint="eastAsia"/>
                <w:color w:val="auto"/>
              </w:rPr>
            </w:pPr>
            <w:r>
              <w:rPr>
                <w:rFonts w:hint="eastAsia"/>
                <w:color w:val="auto"/>
              </w:rPr>
              <w:t xml:space="preserve">      3月28日-4月3日中国47港铁矿石到港总量2148.4万吨，环比增加87.9万吨；中国45港到港总量2019万吨，环比增加93.4万吨；北方六港到港总量为904.9万吨，环比增加37.5万吨。</w:t>
            </w:r>
          </w:p>
          <w:p>
            <w:pPr>
              <w:widowControl/>
              <w:suppressAutoHyphens w:val="0"/>
              <w:jc w:val="left"/>
              <w:rPr>
                <w:rFonts w:hint="eastAsia"/>
                <w:color w:val="auto"/>
              </w:rPr>
            </w:pPr>
            <w:r>
              <w:rPr>
                <w:rFonts w:hint="eastAsia"/>
                <w:color w:val="auto"/>
              </w:rPr>
              <w:t xml:space="preserve">      3月28日-4月3日期间，澳大利亚、巴西七个主要港口铁矿石库存总量1073.3万吨，周环比增加70.5万吨，处于今年的平均水平。</w:t>
            </w:r>
          </w:p>
          <w:p>
            <w:pPr>
              <w:widowControl/>
              <w:suppressAutoHyphens w:val="0"/>
              <w:jc w:val="left"/>
              <w:rPr>
                <w:rFonts w:hint="eastAsia" w:eastAsia="宋体"/>
                <w:color w:val="auto"/>
                <w:lang w:val="en-US" w:eastAsia="zh-CN"/>
              </w:rPr>
            </w:pPr>
            <w:r>
              <w:rPr>
                <w:rFonts w:hint="eastAsia"/>
                <w:color w:val="auto"/>
              </w:rPr>
              <w:t xml:space="preserve">      夜盘铁矿石价格高位震荡，当前稳增长预期持续强化，市场情绪积极乐观，对黑色品种有着较强的支撑作用；产业面来看，当前铁矿石仍处于复产过程和复产预期中，供需边际改善，4月份港口库存或将保持去库状态，铁矿石价格将震荡偏强运行</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波段或短线操作，不追高，上方的压力来自于港口库存高位、钢铁低利润对复产的影响和政策监管压力的持续存在。</w:t>
            </w:r>
          </w:p>
          <w:p>
            <w:pPr>
              <w:rPr>
                <w:rFonts w:hint="eastAsia"/>
                <w:b/>
                <w:color w:val="auto"/>
                <w:lang w:eastAsia="zh-CN"/>
              </w:rPr>
            </w:pPr>
          </w:p>
          <w:p>
            <w:pPr>
              <w:rPr>
                <w:b/>
                <w:color w:val="auto"/>
                <w:lang w:eastAsia="zh-CN"/>
              </w:rPr>
            </w:pPr>
            <w:r>
              <w:rPr>
                <w:rFonts w:hint="eastAsia"/>
                <w:b/>
                <w:color w:val="FF0000"/>
                <w:lang w:eastAsia="zh-CN"/>
              </w:rPr>
              <w:t>(杨俊林)</w:t>
            </w: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持稳向好，焦炭延续第四轮提涨，幅度200元/吨。山西介休1.3硫主焦2600元/吨，蒙5金泉提货价2900元/吨，澳煤到岸价450美元/吨（-57）；吕梁准一出厂价3350元/吨，唐山二级焦到厂价3450元/吨，青岛港准一焦平仓价3600元/吨。</w:t>
            </w:r>
          </w:p>
          <w:p>
            <w:pPr>
              <w:widowControl/>
              <w:suppressAutoHyphens w:val="0"/>
              <w:ind w:firstLine="630" w:firstLineChars="300"/>
              <w:jc w:val="left"/>
              <w:rPr>
                <w:rFonts w:hint="eastAsia"/>
                <w:color w:val="auto"/>
              </w:rPr>
            </w:pPr>
            <w:r>
              <w:rPr>
                <w:rFonts w:hint="eastAsia"/>
                <w:color w:val="auto"/>
              </w:rPr>
              <w:t>各地产销，山西煤矿稳定出煤，暂未受疫情影响，不过运输受限，部分矿点有少量库存堆积；内蒙地区环保检查影响尚存，部分洗煤厂停产观望；蒙煤方面，甘其毛都口岸通关恢复，继续稳定在200车以上，策克口岸开关在即，等待最新文件通知。非澳海运煤方面，受日韩、印度等国家终端备库至合理水平影响，对高价煤采购意愿降温，部分终端有意转向采购俄罗斯等国煤种影响，价格急速下跌。焦企开工正常，库存低位，心态走强。河北地区疫情暂稳管控措施逐渐放宽，部分钢厂复产稳步推进，补库积极性较高。</w:t>
            </w:r>
          </w:p>
          <w:p>
            <w:pPr>
              <w:widowControl/>
              <w:suppressAutoHyphens w:val="0"/>
              <w:ind w:firstLine="630" w:firstLineChars="300"/>
              <w:jc w:val="left"/>
              <w:rPr>
                <w:rFonts w:hint="eastAsia" w:eastAsia="宋体"/>
                <w:color w:val="auto"/>
                <w:lang w:val="en-US" w:eastAsia="zh-CN"/>
              </w:rPr>
            </w:pPr>
            <w:r>
              <w:rPr>
                <w:rFonts w:hint="eastAsia"/>
                <w:color w:val="auto"/>
              </w:rPr>
              <w:t>近期钢厂生产受疫情冲击力度逐步减弱，复产预期增强，补库需求下，双焦现货持稳向好。同时政策层面不断释放稳增长预期，疫情冲击后终端需求边际向好的预期较强，未来双焦供求有偏紧预期，带动盘面价格继续反弹对现货出现升水。整体双焦盘面在补库需求、供求预期偏紧的支撑下持续抬升，但仍需关注终端对钢材成本抬升的承接能力</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操作上逢回调偏多思路，注意节奏把握。</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震荡下挫，沪铝主力月2205合约收至22540元/吨，跌205元，跌幅0.9%。现货方面，6日长江现货成交价格22460-22500元/吨，跌240元，贴水90-贴水130；广东南储报22490-22550元/吨，跌240元；华通报22510-22550元/吨，跌250元。</w:t>
            </w:r>
          </w:p>
          <w:p>
            <w:pPr>
              <w:widowControl/>
              <w:suppressAutoHyphens w:val="0"/>
              <w:ind w:firstLine="630" w:firstLineChars="300"/>
              <w:jc w:val="left"/>
              <w:rPr>
                <w:rFonts w:hint="eastAsia"/>
                <w:color w:val="auto"/>
                <w:lang w:val="en-US" w:eastAsia="zh-CN"/>
              </w:rPr>
            </w:pPr>
            <w:r>
              <w:rPr>
                <w:rFonts w:hint="eastAsia"/>
                <w:color w:val="auto"/>
                <w:lang w:val="en-US" w:eastAsia="zh-CN"/>
              </w:rPr>
              <w:t xml:space="preserve">伦敦金属交易所（LME）公布数据显示，伦铝库存再度下滑，最新库存水平为623,325吨，降至逾十六年新低位。上期所公布数据显示，沪铝库存小幅下滑，目前已连降三周，4月1日当周，周度库存减少1.02%至305,805吨，刷新一个半月最低位。 </w:t>
            </w:r>
          </w:p>
          <w:p>
            <w:pPr>
              <w:widowControl/>
              <w:suppressAutoHyphens w:val="0"/>
              <w:ind w:firstLine="630" w:firstLineChars="300"/>
              <w:jc w:val="left"/>
              <w:rPr>
                <w:color w:val="auto"/>
              </w:rPr>
            </w:pPr>
            <w:r>
              <w:rPr>
                <w:rFonts w:hint="eastAsia"/>
                <w:color w:val="auto"/>
                <w:lang w:val="en-US" w:eastAsia="zh-CN"/>
              </w:rPr>
              <w:t>目前俄乌局势趋向缓和，但西方国家对俄罗斯的制裁仍在继续，俄铝向外出口继续受阻，欧洲铝企受高电价影响减产的风险将继续扩大，海外供应忧虑持续。国内云南、内蒙等地电解铝复产及新增产能投产提速，但产量难超去年同期，叠加疫情冲击干扰铝锭及氧化铝等原料运输效率。下游受疫情影响部分加工企业被迫减停产，需求复苏受阻，铝锭去库放缓。短期需求疲软铝价上涨乏力，而海内外铝库存低位继续给予铝价支撑，中长期需求预期向好，铝价维持乐观。</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操作上偏多思路对待，谨防回落风险。</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有色组）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美联储会议纪要显示未来将可能进行50个点的加息并有缩表操作，海外主要金融市场显著承压下跌，另一方面，日本、意大利等国今年的经济增</w:t>
            </w:r>
            <w:bookmarkStart w:id="0" w:name="_GoBack"/>
            <w:bookmarkEnd w:id="0"/>
            <w:r>
              <w:rPr>
                <w:rFonts w:hint="eastAsia"/>
                <w:color w:val="auto"/>
              </w:rPr>
              <w:t>长预期均遭下调，全球滞涨程度加深，不利于天胶的海外需求的增长。受疫情防控影响，国内3月财新制造业PMI明显回落，天胶的内需持续承压。昨日国内工业品期货指数冲高回落，对胶价亦有情绪上的压力。行业方面，昨日云南地区胶水收购价格小幅上涨，青岛地区天胶库存本期继续回落，近期出库增多，库存继续走低。昨日国内现货市场主流价格跟随期货盘面窄幅调整，下游维持刚需采买为主，局部地区交投运输仍有所受限，上海20年SCRWF主流价格在13050—13150元/吨；上海地区SVR3L参考价格在13100元/吨；云南市场国产10#胶参考价格12000—12200元/吨。</w:t>
            </w:r>
          </w:p>
          <w:p>
            <w:pPr>
              <w:widowControl/>
              <w:suppressAutoHyphens w:val="0"/>
              <w:ind w:firstLine="630" w:firstLineChars="300"/>
              <w:jc w:val="left"/>
              <w:rPr>
                <w:rFonts w:hint="eastAsia" w:eastAsia="宋体"/>
                <w:color w:val="auto"/>
                <w:lang w:eastAsia="zh-CN"/>
              </w:rPr>
            </w:pPr>
            <w:r>
              <w:rPr>
                <w:rFonts w:hint="eastAsia"/>
                <w:color w:val="auto"/>
              </w:rPr>
              <w:t>技术面：昨日RU2209在14000持续承压后在夜盘大幅下跌，胶价再度跌回低位宽幅震荡的区间，下方支撑在13500-13600，上方短期压力在13800附近，投资者可密切关注胶价下探支撑及止跌的可能性。</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操作建议：暂保持观望，待胶价明显止跌可考虑轻仓低买高平的波段操作。</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国际能源署（IEA）确认全球释储规模达2.4亿桶。美国至4月1日当周EIA原油库存增加242.1万桶，预期减少205.6万桶，前值减少344.9万桶。上周美国国内原油产量增加10万桶至1180万桶/日。美国上周原油出口增加70.5万桶/日至369.3万桶/日。阿联酋Fujairah港石油产品库存降至七周低点，因为汽油和其他轻馏分油创下历史新低。圭亚那环境保护机构已批准埃克森美孚的海上Yellowtail项目，预计在2025年调试后达到满负荷生产时将生产25万桶/日。欧佩克月报显示，欧佩克2月份的石油产量增加了44万桶/日，达到2847万桶/日，超过了欧佩克+协议承诺的增产量；二手资料显示，2月沙特原油产量增加14.1万桶/日，至1019.3万桶/日；伊拉克原油产量增加3.6万桶/日，至426.8万桶/日；阿联酋原油产量增加2.6万桶/日，至295.1万桶/日；伊朗原油产量增加4.4万桶/日，至254.6万桶/日。欧盟已宣布禁止俄罗斯煤炭进口和俄罗斯从欧盟港口运输，并正在制定进一步的制裁措施，包括石油进口。4月5日，美国石油协会（API）公布数据显示，美国至4月1日当周API原油库存增加108万桶，预期减少301.6万桶，前值减少300万桶。伊拉克国家石油营销组织SOMO：伊拉克3月份的原油产量为415万桶/日，比2月份下降了11.2万桶/日。因为乌克兰战争对行业和整体经济的不确定性，德国化学雇主贸易组织BAVC和工会IG BCE已同意暂停2022年集体工资和工资谈判，直到10月。欧佩克+联盟已同意将5月份的原油总产量目标增加43.2万桶/日。</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操作建议：国际能源署表示将释放1.2亿桶原油储备，且美联储发出鹰派信号提振美元，国际油价大幅下跌。NYMEX原油期货05合约96.23跌5.73美元/桶或5.62%；ICE布油期货06合约101.07跌5.57美元/桶或5.22%。</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操作思路以高位震荡为主，关注布伦特原油震荡区间100-115美元/桶，注意止盈止损。</w:t>
            </w:r>
          </w:p>
          <w:p>
            <w:pPr>
              <w:rPr>
                <w:rFonts w:hint="eastAsia"/>
                <w:b/>
                <w:color w:val="FF0000"/>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FF0000"/>
                <w:lang w:eastAsia="zh-CN"/>
              </w:rPr>
              <w:t>（</w:t>
            </w:r>
            <w:r>
              <w:rPr>
                <w:rFonts w:hint="eastAsia"/>
                <w:b/>
                <w:color w:val="FF0000"/>
                <w:lang w:val="en-US" w:eastAsia="zh-CN"/>
              </w:rPr>
              <w:t>黄世俊</w:t>
            </w:r>
            <w:r>
              <w:rPr>
                <w:rFonts w:hint="eastAsia"/>
                <w:b/>
                <w:color w:val="FF0000"/>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99174FC"/>
    <w:rsid w:val="14E22F0B"/>
    <w:rsid w:val="18B11A3E"/>
    <w:rsid w:val="18B21305"/>
    <w:rsid w:val="195C02AF"/>
    <w:rsid w:val="1A8E2066"/>
    <w:rsid w:val="1C955016"/>
    <w:rsid w:val="20970D76"/>
    <w:rsid w:val="227F224C"/>
    <w:rsid w:val="23F270CF"/>
    <w:rsid w:val="2A7A4984"/>
    <w:rsid w:val="2D8D3BC9"/>
    <w:rsid w:val="321D62B5"/>
    <w:rsid w:val="353D5E3C"/>
    <w:rsid w:val="384D33C8"/>
    <w:rsid w:val="406C6812"/>
    <w:rsid w:val="4A29450B"/>
    <w:rsid w:val="4D9E7DC0"/>
    <w:rsid w:val="578723B2"/>
    <w:rsid w:val="66714647"/>
    <w:rsid w:val="66CC74E1"/>
    <w:rsid w:val="73C8743F"/>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7</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2022-04-07T00:38:47Z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